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5054"/>
        <w:gridCol w:w="149"/>
        <w:gridCol w:w="148"/>
        <w:gridCol w:w="3973"/>
      </w:tblGrid>
      <w:tr w:rsidR="00A17AE4" w14:paraId="33816968" w14:textId="77777777" w:rsidTr="1BB08182">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1BB08182">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1BB08182">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289E76B4" w:rsidR="00093CA9" w:rsidRDefault="00A612AD" w:rsidP="00093CA9">
            <w:proofErr w:type="spellStart"/>
            <w:r>
              <w:t>Blomstein</w:t>
            </w:r>
            <w:proofErr w:type="spellEnd"/>
          </w:p>
        </w:tc>
      </w:tr>
      <w:tr w:rsidR="00093CA9" w14:paraId="68D6C829" w14:textId="77777777" w:rsidTr="1BB08182">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1BB08182">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5091F3C3" w:rsidR="00093CA9" w:rsidRDefault="006840CD" w:rsidP="00093CA9">
            <w:r>
              <w:t>EU</w:t>
            </w:r>
          </w:p>
        </w:tc>
      </w:tr>
      <w:tr w:rsidR="00093CA9" w:rsidRPr="00E50B13" w14:paraId="55091B20" w14:textId="77777777" w:rsidTr="1BB08182">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1BB08182">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313A697B" w14:textId="274E0AEC" w:rsidR="00093CA9" w:rsidRDefault="001608AD" w:rsidP="00093CA9">
            <w:r w:rsidRPr="001608AD">
              <w:t>EBA Guidelines on the management of ESG risks </w:t>
            </w:r>
          </w:p>
        </w:tc>
      </w:tr>
      <w:tr w:rsidR="00093CA9" w14:paraId="67500B24" w14:textId="77777777" w:rsidTr="1BB08182">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1BB08182">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30AA06B4" w:rsidR="00093CA9" w:rsidRDefault="51F675BD" w:rsidP="00093CA9">
            <w:hyperlink r:id="rId17">
              <w:r w:rsidRPr="1BB08182">
                <w:rPr>
                  <w:rStyle w:val="Hyperlink"/>
                </w:rPr>
                <w:t>https://web.archive.org/web/20250708195050/https://www.eba.europa.eu/activities/single-rulebook/regulatory-activities/sustainable-finance/guidelines-management-esg-risks</w:t>
              </w:r>
            </w:hyperlink>
            <w:r>
              <w:t xml:space="preserve"> </w:t>
            </w:r>
          </w:p>
        </w:tc>
      </w:tr>
      <w:tr w:rsidR="00093CA9" w:rsidRPr="005A2023" w14:paraId="1EA0B43C" w14:textId="77777777" w:rsidTr="1BB08182">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1BB08182">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37C98B62" w:rsidR="00093CA9" w:rsidRDefault="00093CA9" w:rsidP="00093CA9"/>
        </w:tc>
      </w:tr>
      <w:tr w:rsidR="00093CA9" w14:paraId="401C58A8" w14:textId="77777777" w:rsidTr="1BB08182">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77777777" w:rsidR="00093CA9" w:rsidRDefault="00093CA9" w:rsidP="00093CA9"/>
        </w:tc>
      </w:tr>
      <w:tr w:rsidR="00093CA9" w14:paraId="2CE0B955" w14:textId="77777777" w:rsidTr="1BB08182">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0F70BC81" w:rsidR="00093CA9" w:rsidRDefault="00093CA9" w:rsidP="00093CA9"/>
        </w:tc>
      </w:tr>
      <w:tr w:rsidR="00093CA9" w14:paraId="60051751" w14:textId="77777777" w:rsidTr="1BB08182">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225D4869" w:rsidR="00093CA9" w:rsidRDefault="00093CA9" w:rsidP="00093CA9"/>
        </w:tc>
      </w:tr>
      <w:tr w:rsidR="00093CA9" w14:paraId="6426E869" w14:textId="77777777" w:rsidTr="1BB08182">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7805BEAC" w:rsidR="00093CA9" w:rsidRDefault="001608AD" w:rsidP="00093CA9">
            <w:r>
              <w:t>X</w:t>
            </w:r>
          </w:p>
        </w:tc>
      </w:tr>
      <w:tr w:rsidR="00093CA9" w14:paraId="4C779C87" w14:textId="77777777" w:rsidTr="1BB08182">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77777777" w:rsidR="00093CA9" w:rsidRDefault="00093CA9" w:rsidP="00093CA9"/>
        </w:tc>
      </w:tr>
      <w:tr w:rsidR="00093CA9" w14:paraId="73270E71" w14:textId="77777777" w:rsidTr="1BB08182">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1BB08182">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5E2CC67" w14:textId="77777777" w:rsidR="00093CA9" w:rsidRDefault="003F0340" w:rsidP="00093CA9">
            <w:r w:rsidRPr="003F0340">
              <w:t>The EBA Guidelines on the management of environmental, social and governance (ESG) risks (EBA/GL/2025/01) are a policy tool issued under Article 87</w:t>
            </w:r>
            <w:proofErr w:type="gramStart"/>
            <w:r w:rsidRPr="003F0340">
              <w:t>a(</w:t>
            </w:r>
            <w:proofErr w:type="gramEnd"/>
            <w:r w:rsidRPr="003F0340">
              <w:t>5) of Directive 2013/36/EU (CRD).</w:t>
            </w:r>
            <w:r w:rsidR="00B6227C">
              <w:t xml:space="preserve"> </w:t>
            </w:r>
            <w:r w:rsidR="00A9329E">
              <w:t>As set out in the Executive Summary (p. 3) t</w:t>
            </w:r>
            <w:r w:rsidR="00B6227C" w:rsidRPr="00B6227C">
              <w:t>heir purpose is to support the integration of ESG risks</w:t>
            </w:r>
            <w:r w:rsidR="00B6227C">
              <w:t xml:space="preserve"> </w:t>
            </w:r>
            <w:r w:rsidR="00B6227C" w:rsidRPr="00B6227C">
              <w:t>into the prudential framework applicable to credit institutions.</w:t>
            </w:r>
          </w:p>
          <w:p w14:paraId="21A7C40E" w14:textId="77777777" w:rsidR="00540084" w:rsidRDefault="00540084" w:rsidP="00093CA9">
            <w:r w:rsidRPr="00540084">
              <w:t>Section 4 introduces a reference methodology for identifying and measuring ESG risks. It requires institutions to regularly conduct materiality assessments (paragraph 11) and to apply multiple risk assessment methods, including exposure-based, portfolio-based, sector-based, and scenario-based approaches (paragraphs 30</w:t>
            </w:r>
            <w:r>
              <w:t>-</w:t>
            </w:r>
            <w:r w:rsidRPr="00540084">
              <w:t>42). These assessments are designed to capture how ESG risks may impact financial risk categories and should be integrated into institutions’ internal capital adequacy processes (paragraph 12).</w:t>
            </w:r>
          </w:p>
          <w:p w14:paraId="5C7DB67D" w14:textId="77777777" w:rsidR="00FF4C17" w:rsidRDefault="00FF4C17" w:rsidP="00093CA9">
            <w:r w:rsidRPr="00FF4C17">
              <w:t>Section 5 sets out minimum standards for ESG risk management. Institutions are expected to embed ESG risks in all elements of their risk management system, including business strategies, internal controls, risk appetite frameworks, ICAAP and ILAAP (paragraphs 43</w:t>
            </w:r>
            <w:r>
              <w:t>-</w:t>
            </w:r>
            <w:r w:rsidRPr="00FF4C17">
              <w:t>66).</w:t>
            </w:r>
          </w:p>
          <w:p w14:paraId="18257824" w14:textId="3D953E07" w:rsidR="005B4DC1" w:rsidRPr="003544BE" w:rsidRDefault="005B4DC1" w:rsidP="00093CA9">
            <w:pPr>
              <w:rPr>
                <w:lang w:val="en-US"/>
              </w:rPr>
            </w:pPr>
            <w:r>
              <w:rPr>
                <w:lang w:val="en-US"/>
              </w:rPr>
              <w:t>T</w:t>
            </w:r>
            <w:r w:rsidRPr="005B4DC1">
              <w:rPr>
                <w:lang w:val="en-US"/>
              </w:rPr>
              <w:t xml:space="preserve">he </w:t>
            </w:r>
            <w:r>
              <w:rPr>
                <w:lang w:val="en-US"/>
              </w:rPr>
              <w:t>EBA Guidelines</w:t>
            </w:r>
            <w:r w:rsidRPr="005B4DC1">
              <w:rPr>
                <w:lang w:val="en-US"/>
              </w:rPr>
              <w:t xml:space="preserve"> constitute a prudential policy tool within the domain of financial supervision, as they set supervisory expectations for how institutions must manage climate-related and other ESG risks </w:t>
            </w:r>
            <w:r w:rsidR="004164CA" w:rsidRPr="005B4DC1">
              <w:rPr>
                <w:lang w:val="en-US"/>
              </w:rPr>
              <w:t>ensuring</w:t>
            </w:r>
            <w:r w:rsidRPr="005B4DC1">
              <w:rPr>
                <w:lang w:val="en-US"/>
              </w:rPr>
              <w:t xml:space="preserve"> long-term resilience. </w:t>
            </w:r>
          </w:p>
        </w:tc>
      </w:tr>
      <w:tr w:rsidR="00093CA9" w14:paraId="2451E529" w14:textId="77777777" w:rsidTr="1BB08182">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1BB08182">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77777777" w:rsidR="00093CA9" w:rsidRDefault="00093CA9" w:rsidP="00093CA9"/>
        </w:tc>
      </w:tr>
      <w:tr w:rsidR="00093CA9" w14:paraId="3640F334" w14:textId="77777777" w:rsidTr="1BB08182">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17E2644E" w:rsidR="00093CA9" w:rsidRDefault="00412820" w:rsidP="00093CA9">
            <w:r>
              <w:t>X</w:t>
            </w:r>
          </w:p>
        </w:tc>
      </w:tr>
      <w:tr w:rsidR="003D6DA5" w14:paraId="2F19D0AC" w14:textId="77777777" w:rsidTr="1BB08182">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1BB08182">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1BB08182">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1BB08182">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1BB08182">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1BB08182">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5289B622" w:rsidR="00093CA9" w:rsidRDefault="00471445" w:rsidP="00093CA9">
            <w:r w:rsidRPr="00471445">
              <w:t>According to paragraph 10 of the Guidelines (p. 17), the EBA Guidelines on the management of ESG risks will apply from 11 January 2026 for institutions other than small and non-complex institutions (SNCIs), and from 11 January 2027 for SNCIs.</w:t>
            </w:r>
          </w:p>
        </w:tc>
      </w:tr>
      <w:tr w:rsidR="00093CA9" w14:paraId="5FF08B4A" w14:textId="77777777" w:rsidTr="1BB08182">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1BB08182">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06064013" w:rsidR="00093CA9" w:rsidRPr="00173D7C" w:rsidRDefault="00471445" w:rsidP="00093CA9">
            <w:pPr>
              <w:rPr>
                <w:color w:val="000000" w:themeColor="text1"/>
              </w:rPr>
            </w:pPr>
            <w:r>
              <w:rPr>
                <w:color w:val="000000" w:themeColor="text1"/>
              </w:rPr>
              <w:t>2025</w:t>
            </w:r>
          </w:p>
        </w:tc>
      </w:tr>
      <w:tr w:rsidR="00093CA9" w14:paraId="738B7301" w14:textId="77777777" w:rsidTr="1BB08182">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1BB08182">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35D39AD4" w:rsidR="00093CA9" w:rsidRPr="00173D7C" w:rsidRDefault="00584D2B" w:rsidP="00093CA9">
            <w:pPr>
              <w:rPr>
                <w:color w:val="000000" w:themeColor="text1"/>
              </w:rPr>
            </w:pPr>
            <w:r>
              <w:rPr>
                <w:color w:val="000000" w:themeColor="text1"/>
              </w:rPr>
              <w:t>2026 and 2027</w:t>
            </w:r>
          </w:p>
        </w:tc>
      </w:tr>
      <w:tr w:rsidR="00093CA9" w14:paraId="2C2614F8" w14:textId="77777777" w:rsidTr="1BB08182">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1BB08182">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35054932" w14:textId="04FAA298" w:rsidR="00584D2B" w:rsidRPr="00584D2B" w:rsidRDefault="00584D2B" w:rsidP="00584D2B">
            <w:pPr>
              <w:rPr>
                <w:color w:val="000000" w:themeColor="text1"/>
              </w:rPr>
            </w:pPr>
            <w:r w:rsidRPr="00584D2B">
              <w:rPr>
                <w:color w:val="000000" w:themeColor="text1"/>
              </w:rPr>
              <w:t>-</w:t>
            </w:r>
            <w:r>
              <w:rPr>
                <w:color w:val="000000" w:themeColor="text1"/>
              </w:rPr>
              <w:t xml:space="preserve"> </w:t>
            </w:r>
            <w:r w:rsidRPr="00584D2B">
              <w:rPr>
                <w:color w:val="000000" w:themeColor="text1"/>
              </w:rPr>
              <w:t>2026 for institutions other than small and non-complex institutions (SNCIs)</w:t>
            </w:r>
          </w:p>
          <w:p w14:paraId="1A1B9D26" w14:textId="30E3C27D" w:rsidR="00093CA9" w:rsidRPr="00587FAE" w:rsidRDefault="00584D2B" w:rsidP="00584D2B">
            <w:pPr>
              <w:rPr>
                <w:color w:val="000000" w:themeColor="text1"/>
              </w:rPr>
            </w:pPr>
            <w:r>
              <w:rPr>
                <w:color w:val="000000" w:themeColor="text1"/>
              </w:rPr>
              <w:t xml:space="preserve">- </w:t>
            </w:r>
            <w:r w:rsidRPr="00584D2B">
              <w:rPr>
                <w:color w:val="000000" w:themeColor="text1"/>
              </w:rPr>
              <w:t>2027 for small and non-complex institutions (SNCIs)</w:t>
            </w:r>
          </w:p>
        </w:tc>
      </w:tr>
      <w:tr w:rsidR="00093CA9" w14:paraId="0CA17197" w14:textId="77777777" w:rsidTr="1BB08182">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1BB08182">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1BB08182">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1BB08182">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77777777" w:rsidR="00093CA9" w:rsidRDefault="00093CA9" w:rsidP="00093CA9"/>
        </w:tc>
      </w:tr>
      <w:tr w:rsidR="00093CA9" w:rsidRPr="006B7B0D" w14:paraId="5375EB04" w14:textId="77777777" w:rsidTr="1BB08182">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1BB08182">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38BCB600" w:rsidR="00093CA9" w:rsidRPr="006B7B0D" w:rsidRDefault="009A3E95" w:rsidP="00093CA9">
            <w:r w:rsidRPr="009A3E95">
              <w:t>European Banking Authority (EBA)</w:t>
            </w:r>
            <w:r>
              <w:t xml:space="preserve">, which is an </w:t>
            </w:r>
            <w:r w:rsidRPr="009A3E95">
              <w:t xml:space="preserve">independent regulatory and supervisory body of the </w:t>
            </w:r>
            <w:r>
              <w:t>EU.</w:t>
            </w:r>
          </w:p>
        </w:tc>
      </w:tr>
      <w:tr w:rsidR="00093CA9" w:rsidRPr="006B7B0D" w14:paraId="2F387FFB" w14:textId="77777777" w:rsidTr="1BB08182">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1BB08182">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1BB08182">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1BB08182">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1BB08182">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29972FB" w:rsidR="00093CA9" w:rsidRPr="006B7B0D" w:rsidRDefault="003666B6" w:rsidP="00093CA9">
            <w:r>
              <w:t>X</w:t>
            </w:r>
          </w:p>
        </w:tc>
      </w:tr>
      <w:tr w:rsidR="00093CA9" w:rsidRPr="006B7B0D" w14:paraId="06CA77C4" w14:textId="77777777" w:rsidTr="1BB08182">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1BB08182">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1BB08182">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1BB08182">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1BB08182">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1BB08182">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1BB08182">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1BB08182">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1BB08182">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1BB08182">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1BB08182">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1BB08182">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1BB08182">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1BB08182">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1BB08182">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1BB08182">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1BB08182">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1BB08182">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1BB08182">
        <w:trPr>
          <w:trHeight w:val="63"/>
        </w:trPr>
        <w:tc>
          <w:tcPr>
            <w:tcW w:w="976" w:type="dxa"/>
            <w:vAlign w:val="center"/>
          </w:tcPr>
          <w:p w14:paraId="6FC23CEF" w14:textId="77777777" w:rsidR="00093CA9" w:rsidRPr="006B7B0D" w:rsidRDefault="00093CA9" w:rsidP="00093CA9">
            <w:r w:rsidRPr="006B7B0D">
              <w:lastRenderedPageBreak/>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1BB08182">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1BB08182">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1BB08182">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1BB08182">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1BB08182">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1BB08182">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1BB08182">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1BB08182">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1BB08182">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1BB08182">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1BB08182">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1E05FC2A" w:rsidR="0077768E" w:rsidRDefault="003666B6" w:rsidP="00093CA9">
            <w:r w:rsidRPr="003666B6">
              <w:t>EBA</w:t>
            </w:r>
            <w:r w:rsidR="00245F3E">
              <w:t xml:space="preserve"> </w:t>
            </w:r>
            <w:r w:rsidR="00245F3E" w:rsidRPr="00245F3E">
              <w:t xml:space="preserve">is perceived as having a high capacity to undertake this work. As an independent EU authority established under Regulation (EU) No 1093/2010, it has a clear mandate to develop and coordinate prudential regulation across the EU banking sector. The EBA plays a central role in integrating ESG risks into supervision, works closely with national and EU supervisors, and has published key deliverables such as the ESG Pillar 3 disclosure standards and its Sustainable Finance Roadmap. Its legal mandate, technical expertise, and central role in EU banking supervision support this </w:t>
            </w:r>
            <w:proofErr w:type="gramStart"/>
            <w:r w:rsidR="00245F3E" w:rsidRPr="00245F3E">
              <w:t>high capacity</w:t>
            </w:r>
            <w:proofErr w:type="gramEnd"/>
            <w:r w:rsidR="00245F3E" w:rsidRPr="00245F3E">
              <w:t xml:space="preserve"> assessment.</w:t>
            </w:r>
          </w:p>
        </w:tc>
      </w:tr>
      <w:tr w:rsidR="00093CA9" w14:paraId="7C1E73C1" w14:textId="77777777" w:rsidTr="1BB08182">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1BB08182">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7777777" w:rsidR="00093CA9" w:rsidRDefault="00093CA9" w:rsidP="00093CA9"/>
        </w:tc>
      </w:tr>
      <w:tr w:rsidR="00093CA9" w14:paraId="461D4D38" w14:textId="77777777" w:rsidTr="1BB08182">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079F041D" w:rsidR="00093CA9" w:rsidRDefault="00DE11CD" w:rsidP="00093CA9">
            <w:r>
              <w:t>X</w:t>
            </w:r>
          </w:p>
        </w:tc>
      </w:tr>
      <w:tr w:rsidR="00093CA9" w14:paraId="0763562F" w14:textId="77777777" w:rsidTr="1BB08182">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1BB08182">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FBABE8C" w14:textId="77777777" w:rsidR="002A606D" w:rsidRDefault="002A606D" w:rsidP="002A606D">
            <w:pPr>
              <w:keepNext/>
              <w:rPr>
                <w:color w:val="000000" w:themeColor="text1"/>
              </w:rPr>
            </w:pPr>
            <w:r w:rsidRPr="002A606D">
              <w:rPr>
                <w:color w:val="000000" w:themeColor="text1"/>
              </w:rPr>
              <w:t xml:space="preserve">Monitoring systems are in place through supervisory oversight by competent authorities, as part of the prudential supervisory framework. </w:t>
            </w:r>
          </w:p>
          <w:p w14:paraId="63865D64" w14:textId="6D02C174" w:rsidR="00093CA9" w:rsidRDefault="002A606D" w:rsidP="002A606D">
            <w:pPr>
              <w:keepNext/>
              <w:rPr>
                <w:color w:val="000000" w:themeColor="text1"/>
              </w:rPr>
            </w:pPr>
            <w:r>
              <w:rPr>
                <w:color w:val="000000" w:themeColor="text1"/>
              </w:rPr>
              <w:t>C</w:t>
            </w:r>
            <w:r w:rsidRPr="002A606D">
              <w:rPr>
                <w:color w:val="000000" w:themeColor="text1"/>
              </w:rPr>
              <w:t>ompetent authorities are required to assess and monitor developments in institutions’ ESG risk strategy and risk management, including:</w:t>
            </w:r>
            <w:r>
              <w:rPr>
                <w:color w:val="000000" w:themeColor="text1"/>
              </w:rPr>
              <w:t xml:space="preserve"> </w:t>
            </w:r>
            <w:r w:rsidRPr="002A606D">
              <w:rPr>
                <w:color w:val="000000" w:themeColor="text1"/>
              </w:rPr>
              <w:t>the quality of their plans, quantifiable targets, and monitoring processes for ESG risks</w:t>
            </w:r>
            <w:r>
              <w:rPr>
                <w:color w:val="000000" w:themeColor="text1"/>
              </w:rPr>
              <w:t xml:space="preserve">; </w:t>
            </w:r>
            <w:r w:rsidRPr="002A606D">
              <w:rPr>
                <w:color w:val="000000" w:themeColor="text1"/>
              </w:rPr>
              <w:t>consistency with regulatory objectives</w:t>
            </w:r>
            <w:r>
              <w:rPr>
                <w:color w:val="000000" w:themeColor="text1"/>
              </w:rPr>
              <w:t xml:space="preserve">; and </w:t>
            </w:r>
            <w:r w:rsidRPr="002A606D">
              <w:rPr>
                <w:color w:val="000000" w:themeColor="text1"/>
              </w:rPr>
              <w:t>the robustness of these plans as part of the supervisory review and evaluation process (SREP)</w:t>
            </w:r>
            <w:r w:rsidR="002642AC">
              <w:rPr>
                <w:color w:val="000000" w:themeColor="text1"/>
              </w:rPr>
              <w:t xml:space="preserve"> (</w:t>
            </w:r>
            <w:r w:rsidR="002642AC" w:rsidRPr="002A606D">
              <w:rPr>
                <w:color w:val="000000" w:themeColor="text1"/>
              </w:rPr>
              <w:t>p. 5</w:t>
            </w:r>
            <w:r w:rsidR="002642AC">
              <w:rPr>
                <w:color w:val="000000" w:themeColor="text1"/>
              </w:rPr>
              <w:t>-</w:t>
            </w:r>
            <w:r w:rsidR="002642AC" w:rsidRPr="002A606D">
              <w:rPr>
                <w:color w:val="000000" w:themeColor="text1"/>
              </w:rPr>
              <w:t>6</w:t>
            </w:r>
            <w:r w:rsidR="002642AC">
              <w:rPr>
                <w:color w:val="000000" w:themeColor="text1"/>
              </w:rPr>
              <w:t>, paragraph 6(4))</w:t>
            </w:r>
            <w:r w:rsidRPr="002A606D">
              <w:rPr>
                <w:color w:val="000000" w:themeColor="text1"/>
              </w:rPr>
              <w:t>.</w:t>
            </w:r>
          </w:p>
          <w:p w14:paraId="2C2128DB" w14:textId="48D898B2" w:rsidR="002642AC" w:rsidRPr="008017F9" w:rsidRDefault="002958AD" w:rsidP="002A606D">
            <w:pPr>
              <w:keepNext/>
              <w:rPr>
                <w:color w:val="000000" w:themeColor="text1"/>
              </w:rPr>
            </w:pPr>
            <w:r w:rsidRPr="002958AD">
              <w:rPr>
                <w:color w:val="000000" w:themeColor="text1"/>
              </w:rPr>
              <w:t>This assessment also includes a review of institutions’ sustainability-related product offerings, loan origination policies and ESG-related risk limits.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612A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612A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612A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612A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608D9746"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6DE82748" w:rsidR="00D4323A" w:rsidRPr="00CF2E7C" w:rsidRDefault="00907CE0"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5B803993" w:rsidR="00D4323A" w:rsidRPr="00CF2E7C" w:rsidRDefault="002C4433"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32F14B72" w:rsidR="00D4323A" w:rsidRPr="00CF2E7C" w:rsidRDefault="00907CE0"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E37F14F" w:rsidR="00D4323A" w:rsidRPr="00CF2E7C" w:rsidRDefault="00907CE0"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43316327" w:rsidR="00D4323A" w:rsidRPr="00CF2E7C" w:rsidRDefault="00907CE0"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58B5A7F5" w:rsidR="00D4323A" w:rsidRPr="00CF2E7C" w:rsidRDefault="00907CE0"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4BF94535" w:rsidR="00D4323A" w:rsidRPr="00CF2E7C" w:rsidRDefault="00907CE0"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34E0EEFA" w:rsidR="00D4323A" w:rsidRPr="00CF2E7C" w:rsidRDefault="00907CE0"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343CB5CD" w:rsidR="00D4323A" w:rsidRPr="00CF2E7C" w:rsidRDefault="00907CE0"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1817502B" w:rsidR="00D4323A" w:rsidRPr="00CF2E7C" w:rsidRDefault="00907CE0"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516B3B2A" w:rsidR="00D4323A" w:rsidRPr="00CF2E7C" w:rsidRDefault="00907CE0"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19C9A748" w:rsidR="00D4323A" w:rsidRPr="00CF2E7C" w:rsidRDefault="00907CE0"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682333A5" w:rsidR="00D4323A" w:rsidRPr="00CF2E7C" w:rsidRDefault="00907CE0"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38988706" w:rsidR="00DD292A" w:rsidRPr="00CF2E7C" w:rsidRDefault="00A77C08"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4E80CB78" w:rsidR="00DD292A" w:rsidRPr="00CF2E7C" w:rsidRDefault="00A77C08"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3E0A8FB6" w:rsidR="00DD292A" w:rsidRPr="00CF2E7C" w:rsidRDefault="00A77C08"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36382025" w:rsidR="00DD292A" w:rsidRPr="00CF2E7C" w:rsidRDefault="00A77C08"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2235FBEB" w:rsidR="00DD292A" w:rsidRPr="00CF2E7C" w:rsidRDefault="00A77C08"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0C0E1CFF" w:rsidR="00DD292A" w:rsidRPr="00CF2E7C" w:rsidRDefault="00A77C08"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612A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582179AC" w:rsidR="00DD292A" w:rsidRPr="00CF2E7C" w:rsidRDefault="004E719A" w:rsidP="00CF2E7C">
            <w:pPr>
              <w:rPr>
                <w:rFonts w:ascii="Calibri" w:hAnsi="Calibri" w:cs="Calibri"/>
              </w:rPr>
            </w:pPr>
            <w:r w:rsidRPr="004E719A">
              <w:rPr>
                <w:rFonts w:ascii="Calibri" w:hAnsi="Calibri" w:cs="Calibri"/>
              </w:rPr>
              <w:t>Entity is subject to CRD (i.e. is a credit institution authorised under Directive 2013/36/EU).</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4E1BA3FE" w:rsidR="00DD292A" w:rsidRPr="00CF2E7C" w:rsidRDefault="0057144C"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4497EBB8" w:rsidR="00DD3B33" w:rsidRPr="00CF2E7C" w:rsidRDefault="0057144C"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13560CBD" w:rsidR="00DD292A" w:rsidRPr="00CF2E7C" w:rsidRDefault="00B2655E"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3845F607" w:rsidR="00DD292A" w:rsidRPr="00CF2E7C" w:rsidRDefault="00B2655E"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71112C" w:rsidR="00410853" w:rsidRPr="00CF2E7C" w:rsidRDefault="0057038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2AC8D11" w:rsidR="00410853" w:rsidRPr="00CF2E7C" w:rsidRDefault="0057038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8C369E" w:rsidR="00F632FB" w:rsidRPr="00CF2E7C" w:rsidRDefault="00A06A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52874778" w:rsidR="00F632FB" w:rsidRPr="00CF2E7C" w:rsidRDefault="00A06A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7118620F" w:rsidR="00F632FB" w:rsidRPr="00CF2E7C" w:rsidRDefault="00A06A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6AC42DD5" w:rsidR="00F632FB" w:rsidRPr="00CF2E7C" w:rsidRDefault="00A06A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88EA47B" w:rsidR="008C4722" w:rsidRPr="00CF2E7C" w:rsidRDefault="00A06A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2348DCAD" w:rsidR="008C4722" w:rsidRPr="00CF2E7C" w:rsidRDefault="00A06A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3D469218" w:rsidR="008C4722" w:rsidRPr="00CF2E7C" w:rsidRDefault="00A06A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308BF0D6" w:rsidR="008C4722" w:rsidRPr="00CF2E7C" w:rsidRDefault="00A06A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D2840F" w14:textId="77777777" w:rsidR="008C4722" w:rsidRDefault="00110C6A" w:rsidP="00CF2E7C">
            <w:pPr>
              <w:textAlignment w:val="baseline"/>
              <w:rPr>
                <w:rFonts w:ascii="Calibri" w:eastAsia="Times New Roman" w:hAnsi="Calibri" w:cs="Calibri"/>
                <w:kern w:val="0"/>
                <w:lang w:eastAsia="en-GB"/>
                <w14:ligatures w14:val="none"/>
              </w:rPr>
            </w:pPr>
            <w:r w:rsidRPr="00110C6A">
              <w:rPr>
                <w:rFonts w:ascii="Calibri" w:eastAsia="Times New Roman" w:hAnsi="Calibri" w:cs="Calibri"/>
                <w:kern w:val="0"/>
                <w:lang w:eastAsia="en-GB"/>
                <w14:ligatures w14:val="none"/>
              </w:rPr>
              <w:t>The EBA Guidelines address the incidence of climate-related financial risks on targeted entities</w:t>
            </w:r>
            <w:r>
              <w:rPr>
                <w:rFonts w:ascii="Calibri" w:eastAsia="Times New Roman" w:hAnsi="Calibri" w:cs="Calibri"/>
                <w:kern w:val="0"/>
                <w:lang w:eastAsia="en-GB"/>
                <w14:ligatures w14:val="none"/>
              </w:rPr>
              <w:t xml:space="preserve"> </w:t>
            </w:r>
            <w:r w:rsidRPr="00110C6A">
              <w:rPr>
                <w:rFonts w:ascii="Calibri" w:eastAsia="Times New Roman" w:hAnsi="Calibri" w:cs="Calibri"/>
                <w:kern w:val="0"/>
                <w:lang w:eastAsia="en-GB"/>
                <w14:ligatures w14:val="none"/>
              </w:rPr>
              <w:t xml:space="preserve">by requiring them to identify how climate-related risks (both transition and physical) affect </w:t>
            </w:r>
            <w:r w:rsidRPr="00110C6A">
              <w:rPr>
                <w:rFonts w:ascii="Calibri" w:eastAsia="Times New Roman" w:hAnsi="Calibri" w:cs="Calibri"/>
                <w:kern w:val="0"/>
                <w:lang w:eastAsia="en-GB"/>
                <w14:ligatures w14:val="none"/>
              </w:rPr>
              <w:lastRenderedPageBreak/>
              <w:t>their financial exposures, risk profile, business model</w:t>
            </w:r>
            <w:r>
              <w:rPr>
                <w:rFonts w:ascii="Calibri" w:eastAsia="Times New Roman" w:hAnsi="Calibri" w:cs="Calibri"/>
                <w:kern w:val="0"/>
                <w:lang w:eastAsia="en-GB"/>
                <w14:ligatures w14:val="none"/>
              </w:rPr>
              <w:t>,</w:t>
            </w:r>
            <w:r w:rsidRPr="00110C6A">
              <w:rPr>
                <w:rFonts w:ascii="Calibri" w:eastAsia="Times New Roman" w:hAnsi="Calibri" w:cs="Calibri"/>
                <w:kern w:val="0"/>
                <w:lang w:eastAsia="en-GB"/>
                <w14:ligatures w14:val="none"/>
              </w:rPr>
              <w:t xml:space="preserve"> and solvency over short-, medium- and long-term horizons.</w:t>
            </w:r>
          </w:p>
          <w:p w14:paraId="5502F11E" w14:textId="77777777" w:rsidR="009B4904" w:rsidRDefault="005D54C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5D54C5">
              <w:rPr>
                <w:rFonts w:ascii="Calibri" w:eastAsia="Times New Roman" w:hAnsi="Calibri" w:cs="Calibri"/>
                <w:kern w:val="0"/>
                <w:lang w:eastAsia="en-GB"/>
                <w14:ligatures w14:val="none"/>
              </w:rPr>
              <w:t>Paragraph 1 (p. 3) states that ESG risks, particularly environmental risks through transition and physical risk drivers, may affect all traditional categories of financial risk (credit, market, operational, reputational, liquidity, business model</w:t>
            </w:r>
            <w:r>
              <w:rPr>
                <w:rFonts w:ascii="Calibri" w:eastAsia="Times New Roman" w:hAnsi="Calibri" w:cs="Calibri"/>
                <w:kern w:val="0"/>
                <w:lang w:eastAsia="en-GB"/>
                <w14:ligatures w14:val="none"/>
              </w:rPr>
              <w:t xml:space="preserve"> </w:t>
            </w:r>
            <w:r w:rsidRPr="005D54C5">
              <w:rPr>
                <w:rFonts w:ascii="Calibri" w:eastAsia="Times New Roman" w:hAnsi="Calibri" w:cs="Calibri"/>
                <w:kern w:val="0"/>
                <w:lang w:eastAsia="en-GB"/>
                <w14:ligatures w14:val="none"/>
              </w:rPr>
              <w:t>and concentration risk</w:t>
            </w:r>
            <w:proofErr w:type="gramStart"/>
            <w:r w:rsidRPr="005D54C5">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w:t>
            </w:r>
            <w:proofErr w:type="gramEnd"/>
          </w:p>
          <w:p w14:paraId="6DFCF6D8" w14:textId="77777777" w:rsidR="005D54C5" w:rsidRDefault="00CB43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CB4328">
              <w:rPr>
                <w:rFonts w:ascii="Calibri" w:eastAsia="Times New Roman" w:hAnsi="Calibri" w:cs="Calibri"/>
                <w:kern w:val="0"/>
                <w:lang w:eastAsia="en-GB"/>
                <w14:ligatures w14:val="none"/>
              </w:rPr>
              <w:t xml:space="preserve">Paragraph 12 (p. 18) explains that institutions must conduct institution-specific materiality assessments to evaluate the financial materiality of ESG risks on their business model and risk profile. These assessments must be updated regularly and integrated into the </w:t>
            </w:r>
            <w:proofErr w:type="gramStart"/>
            <w:r w:rsidRPr="00CB4328">
              <w:rPr>
                <w:rFonts w:ascii="Calibri" w:eastAsia="Times New Roman" w:hAnsi="Calibri" w:cs="Calibri"/>
                <w:kern w:val="0"/>
                <w:lang w:eastAsia="en-GB"/>
                <w14:ligatures w14:val="none"/>
              </w:rPr>
              <w:t>ICAAP</w:t>
            </w:r>
            <w:r>
              <w:rPr>
                <w:rFonts w:ascii="Calibri" w:eastAsia="Times New Roman" w:hAnsi="Calibri" w:cs="Calibri"/>
                <w:kern w:val="0"/>
                <w:lang w:eastAsia="en-GB"/>
                <w14:ligatures w14:val="none"/>
              </w:rPr>
              <w:t>;</w:t>
            </w:r>
            <w:proofErr w:type="gramEnd"/>
          </w:p>
          <w:p w14:paraId="45FAEB08" w14:textId="77777777" w:rsidR="00CB4328" w:rsidRDefault="00CB43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CB4328">
              <w:rPr>
                <w:rFonts w:ascii="Calibri" w:eastAsia="Times New Roman" w:hAnsi="Calibri" w:cs="Calibri"/>
                <w:kern w:val="0"/>
                <w:lang w:eastAsia="en-GB"/>
                <w14:ligatures w14:val="none"/>
              </w:rPr>
              <w:t xml:space="preserve">Paragraph 13 (p. 18) requires that materiality assessments </w:t>
            </w:r>
            <w:r w:rsidRPr="00CB4328">
              <w:rPr>
                <w:rFonts w:ascii="Calibri" w:eastAsia="Times New Roman" w:hAnsi="Calibri" w:cs="Calibri"/>
                <w:kern w:val="0"/>
                <w:lang w:eastAsia="en-GB"/>
                <w14:ligatures w14:val="none"/>
              </w:rPr>
              <w:t>consider</w:t>
            </w:r>
            <w:r w:rsidRPr="00CB4328">
              <w:rPr>
                <w:rFonts w:ascii="Calibri" w:eastAsia="Times New Roman" w:hAnsi="Calibri" w:cs="Calibri"/>
                <w:kern w:val="0"/>
                <w:lang w:eastAsia="en-GB"/>
                <w14:ligatures w14:val="none"/>
              </w:rPr>
              <w:t xml:space="preserve"> the likelihood and magnitude of financial effects over a long-term horizon of at least 10 </w:t>
            </w:r>
            <w:proofErr w:type="gramStart"/>
            <w:r w:rsidRPr="00CB4328">
              <w:rPr>
                <w:rFonts w:ascii="Calibri" w:eastAsia="Times New Roman" w:hAnsi="Calibri" w:cs="Calibri"/>
                <w:kern w:val="0"/>
                <w:lang w:eastAsia="en-GB"/>
                <w14:ligatures w14:val="none"/>
              </w:rPr>
              <w:t>years</w:t>
            </w:r>
            <w:r>
              <w:rPr>
                <w:rFonts w:ascii="Calibri" w:eastAsia="Times New Roman" w:hAnsi="Calibri" w:cs="Calibri"/>
                <w:kern w:val="0"/>
                <w:lang w:eastAsia="en-GB"/>
                <w14:ligatures w14:val="none"/>
              </w:rPr>
              <w:t>;</w:t>
            </w:r>
            <w:proofErr w:type="gramEnd"/>
          </w:p>
          <w:p w14:paraId="6827CAE8" w14:textId="77777777" w:rsidR="00CB4328" w:rsidRDefault="00346DC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346DC1">
              <w:rPr>
                <w:rFonts w:ascii="Calibri" w:eastAsia="Times New Roman" w:hAnsi="Calibri" w:cs="Calibri"/>
                <w:kern w:val="0"/>
                <w:lang w:eastAsia="en-GB"/>
                <w14:ligatures w14:val="none"/>
              </w:rPr>
              <w:t xml:space="preserve">Paragraph 20(a) (p. 20) states that institutions must quantify climate-related risks by estimating the probability of occurrence and financial impact of climate-related factors on their </w:t>
            </w:r>
            <w:proofErr w:type="gramStart"/>
            <w:r w:rsidRPr="00346DC1">
              <w:rPr>
                <w:rFonts w:ascii="Calibri" w:eastAsia="Times New Roman" w:hAnsi="Calibri" w:cs="Calibri"/>
                <w:kern w:val="0"/>
                <w:lang w:eastAsia="en-GB"/>
                <w14:ligatures w14:val="none"/>
              </w:rPr>
              <w:t>exposures</w:t>
            </w:r>
            <w:r>
              <w:rPr>
                <w:rFonts w:ascii="Calibri" w:eastAsia="Times New Roman" w:hAnsi="Calibri" w:cs="Calibri"/>
                <w:kern w:val="0"/>
                <w:lang w:eastAsia="en-GB"/>
                <w14:ligatures w14:val="none"/>
              </w:rPr>
              <w:t>;</w:t>
            </w:r>
            <w:proofErr w:type="gramEnd"/>
          </w:p>
          <w:p w14:paraId="62C36EC8" w14:textId="1E16E520" w:rsidR="00346DC1" w:rsidRDefault="000C710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0C7101">
              <w:rPr>
                <w:rFonts w:ascii="Calibri" w:eastAsia="Times New Roman" w:hAnsi="Calibri" w:cs="Calibri"/>
                <w:kern w:val="0"/>
                <w:lang w:eastAsia="en-GB"/>
                <w14:ligatures w14:val="none"/>
              </w:rPr>
              <w:t xml:space="preserve">Paragraph 31 (p. 23) mandates that institutions assess the impact of climate-related ESG risks at the exposure level, integrating them into risk classification, internal credit scoring and the valuation of </w:t>
            </w:r>
            <w:proofErr w:type="gramStart"/>
            <w:r w:rsidRPr="000C7101">
              <w:rPr>
                <w:rFonts w:ascii="Calibri" w:eastAsia="Times New Roman" w:hAnsi="Calibri" w:cs="Calibri"/>
                <w:kern w:val="0"/>
                <w:lang w:eastAsia="en-GB"/>
                <w14:ligatures w14:val="none"/>
              </w:rPr>
              <w:t>collateral</w:t>
            </w:r>
            <w:r w:rsidR="00CB6F7D">
              <w:rPr>
                <w:rFonts w:ascii="Calibri" w:eastAsia="Times New Roman" w:hAnsi="Calibri" w:cs="Calibri"/>
                <w:kern w:val="0"/>
                <w:lang w:eastAsia="en-GB"/>
                <w14:ligatures w14:val="none"/>
              </w:rPr>
              <w:t>;</w:t>
            </w:r>
            <w:proofErr w:type="gramEnd"/>
          </w:p>
          <w:p w14:paraId="128A378F" w14:textId="01ED5A3B" w:rsidR="00CB6F7D" w:rsidRPr="00CB6F7D" w:rsidRDefault="00CB6F7D" w:rsidP="00CB6F7D">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CB6F7D">
              <w:rPr>
                <w:rFonts w:ascii="Calibri" w:eastAsia="Times New Roman" w:hAnsi="Calibri" w:cs="Calibri"/>
                <w:kern w:val="0"/>
                <w:lang w:eastAsia="en-GB"/>
                <w14:ligatures w14:val="none"/>
              </w:rPr>
              <w:t>Paragraph 45 (p. 27) underlines that institutions must have a robust and sound approach to manage and mitigate ESG risks</w:t>
            </w:r>
            <w:r>
              <w:rPr>
                <w:rFonts w:ascii="Calibri" w:eastAsia="Times New Roman" w:hAnsi="Calibri" w:cs="Calibri"/>
                <w:kern w:val="0"/>
                <w:lang w:eastAsia="en-GB"/>
                <w14:ligatures w14:val="none"/>
              </w:rPr>
              <w:t xml:space="preserve"> </w:t>
            </w:r>
            <w:r w:rsidRPr="00CB6F7D">
              <w:rPr>
                <w:rFonts w:ascii="Calibri" w:eastAsia="Times New Roman" w:hAnsi="Calibri" w:cs="Calibri"/>
                <w:kern w:val="0"/>
                <w:lang w:eastAsia="en-GB"/>
                <w14:ligatures w14:val="none"/>
              </w:rPr>
              <w:t xml:space="preserve">over a minimum 10-year time horizon, ensuring the institution’s </w:t>
            </w:r>
            <w:proofErr w:type="gramStart"/>
            <w:r w:rsidRPr="00CB6F7D">
              <w:rPr>
                <w:rFonts w:ascii="Calibri" w:eastAsia="Times New Roman" w:hAnsi="Calibri" w:cs="Calibri"/>
                <w:kern w:val="0"/>
                <w:lang w:eastAsia="en-GB"/>
                <w14:ligatures w14:val="none"/>
              </w:rPr>
              <w:t>resilience</w:t>
            </w:r>
            <w:r>
              <w:rPr>
                <w:rFonts w:ascii="Calibri" w:eastAsia="Times New Roman" w:hAnsi="Calibri" w:cs="Calibri"/>
                <w:kern w:val="0"/>
                <w:lang w:eastAsia="en-GB"/>
                <w14:ligatures w14:val="none"/>
              </w:rPr>
              <w:t>;</w:t>
            </w:r>
            <w:proofErr w:type="gramEnd"/>
          </w:p>
          <w:p w14:paraId="39FC6AFA" w14:textId="0B57D8B9" w:rsidR="00F02CD6" w:rsidRPr="00CF2E7C" w:rsidRDefault="00CB6F7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Paragraph 60 (p. 31)</w:t>
            </w:r>
            <w:r w:rsidR="008038F5">
              <w:rPr>
                <w:rFonts w:ascii="Calibri" w:eastAsia="Times New Roman" w:hAnsi="Calibri" w:cs="Calibri"/>
                <w:kern w:val="0"/>
                <w:lang w:eastAsia="en-GB"/>
                <w14:ligatures w14:val="none"/>
              </w:rPr>
              <w:t xml:space="preserve"> </w:t>
            </w:r>
            <w:r w:rsidR="008038F5" w:rsidRPr="008038F5">
              <w:rPr>
                <w:rFonts w:ascii="Calibri" w:eastAsia="Times New Roman" w:hAnsi="Calibri" w:cs="Calibri"/>
                <w:kern w:val="0"/>
                <w:lang w:eastAsia="en-GB"/>
                <w14:ligatures w14:val="none"/>
              </w:rPr>
              <w:t>requires integration of material ESG risks into the internal capital adequacy assessment process (ICAAP) to determine what level of internal capital is needed to cover those risks, including under adverse environmental scenarios (paragraph 63).</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7EBD763D" w:rsidR="008C4722" w:rsidRPr="00CF2E7C" w:rsidRDefault="008038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456E0210" w:rsidR="008C4722" w:rsidRPr="00CF2E7C" w:rsidRDefault="008038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DF2D84" w14:textId="77777777" w:rsidR="008C4722" w:rsidRDefault="00D33D0E" w:rsidP="00CF2E7C">
            <w:pPr>
              <w:textAlignment w:val="baseline"/>
              <w:rPr>
                <w:rFonts w:ascii="Calibri" w:eastAsia="Times New Roman" w:hAnsi="Calibri" w:cs="Calibri"/>
                <w:kern w:val="0"/>
                <w:lang w:eastAsia="en-GB"/>
                <w14:ligatures w14:val="none"/>
              </w:rPr>
            </w:pPr>
            <w:r w:rsidRPr="00D33D0E">
              <w:rPr>
                <w:rFonts w:ascii="Calibri" w:eastAsia="Times New Roman" w:hAnsi="Calibri" w:cs="Calibri"/>
                <w:kern w:val="0"/>
                <w:lang w:eastAsia="en-GB"/>
                <w14:ligatures w14:val="none"/>
              </w:rPr>
              <w:t xml:space="preserve">The EBA Guidelines </w:t>
            </w:r>
            <w:r>
              <w:rPr>
                <w:rFonts w:ascii="Calibri" w:eastAsia="Times New Roman" w:hAnsi="Calibri" w:cs="Calibri"/>
                <w:kern w:val="0"/>
                <w:lang w:eastAsia="en-GB"/>
                <w14:ligatures w14:val="none"/>
              </w:rPr>
              <w:t xml:space="preserve">refer </w:t>
            </w:r>
            <w:r w:rsidRPr="00D33D0E">
              <w:rPr>
                <w:rFonts w:ascii="Calibri" w:eastAsia="Times New Roman" w:hAnsi="Calibri" w:cs="Calibri"/>
                <w:kern w:val="0"/>
                <w:lang w:eastAsia="en-GB"/>
                <w14:ligatures w14:val="none"/>
              </w:rPr>
              <w:t>to the Basel capital regulatory framework through Pillar 2 and Pillar 3</w:t>
            </w:r>
            <w:r>
              <w:rPr>
                <w:rFonts w:ascii="Calibri" w:eastAsia="Times New Roman" w:hAnsi="Calibri" w:cs="Calibri"/>
                <w:kern w:val="0"/>
                <w:lang w:eastAsia="en-GB"/>
                <w14:ligatures w14:val="none"/>
              </w:rPr>
              <w:t xml:space="preserve">, </w:t>
            </w:r>
            <w:r w:rsidRPr="00D33D0E">
              <w:rPr>
                <w:rFonts w:ascii="Calibri" w:eastAsia="Times New Roman" w:hAnsi="Calibri" w:cs="Calibri"/>
                <w:kern w:val="0"/>
                <w:lang w:eastAsia="en-GB"/>
                <w14:ligatures w14:val="none"/>
              </w:rPr>
              <w:t>though they do not explicitly name the "Pillars." Instead, they reference the core components that align with the Basel framework, particularly the Supervisory Review and Evaluation Process (SREP) and the Internal Capital Adequacy Assessment Process (ICAAP).</w:t>
            </w:r>
          </w:p>
          <w:p w14:paraId="595149E3" w14:textId="045F51C3" w:rsidR="00944E99" w:rsidRDefault="00944E99" w:rsidP="00944E99">
            <w:pPr>
              <w:pStyle w:val="ListParagraph"/>
              <w:numPr>
                <w:ilvl w:val="0"/>
                <w:numId w:val="50"/>
              </w:numPr>
              <w:textAlignment w:val="baseline"/>
              <w:rPr>
                <w:rFonts w:ascii="Calibri" w:eastAsia="Times New Roman" w:hAnsi="Calibri" w:cs="Calibri"/>
                <w:kern w:val="0"/>
                <w:lang w:eastAsia="en-GB"/>
                <w14:ligatures w14:val="none"/>
              </w:rPr>
            </w:pPr>
            <w:r w:rsidRPr="00944E99">
              <w:rPr>
                <w:rFonts w:ascii="Calibri" w:eastAsia="Times New Roman" w:hAnsi="Calibri" w:cs="Calibri"/>
                <w:kern w:val="0"/>
                <w:lang w:eastAsia="en-GB"/>
                <w14:ligatures w14:val="none"/>
              </w:rPr>
              <w:t>Pillar 2</w:t>
            </w:r>
          </w:p>
          <w:p w14:paraId="75102588" w14:textId="77777777" w:rsidR="00D65757" w:rsidRDefault="00861A52" w:rsidP="00861A52">
            <w:pPr>
              <w:pStyle w:val="ListParagrap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w:t>
            </w:r>
            <w:r w:rsidRPr="00861A52">
              <w:rPr>
                <w:rFonts w:ascii="Calibri" w:eastAsia="Times New Roman" w:hAnsi="Calibri" w:cs="Calibri"/>
                <w:kern w:val="0"/>
                <w:lang w:eastAsia="en-GB"/>
                <w14:ligatures w14:val="none"/>
              </w:rPr>
              <w:t>upervisory review is addressed in paragraph 6(4) (pp. 5</w:t>
            </w:r>
            <w:r>
              <w:rPr>
                <w:rFonts w:ascii="Calibri" w:eastAsia="Times New Roman" w:hAnsi="Calibri" w:cs="Calibri"/>
                <w:kern w:val="0"/>
                <w:lang w:eastAsia="en-GB"/>
                <w14:ligatures w14:val="none"/>
              </w:rPr>
              <w:t>-</w:t>
            </w:r>
            <w:r w:rsidRPr="00861A52">
              <w:rPr>
                <w:rFonts w:ascii="Calibri" w:eastAsia="Times New Roman" w:hAnsi="Calibri" w:cs="Calibri"/>
                <w:kern w:val="0"/>
                <w:lang w:eastAsia="en-GB"/>
                <w14:ligatures w14:val="none"/>
              </w:rPr>
              <w:t>6), requiring competent authorities to assess ESG risk management, targets</w:t>
            </w:r>
            <w:r w:rsidR="00E742F8">
              <w:rPr>
                <w:rFonts w:ascii="Calibri" w:eastAsia="Times New Roman" w:hAnsi="Calibri" w:cs="Calibri"/>
                <w:kern w:val="0"/>
                <w:lang w:eastAsia="en-GB"/>
                <w14:ligatures w14:val="none"/>
              </w:rPr>
              <w:t xml:space="preserve"> </w:t>
            </w:r>
            <w:r w:rsidRPr="00861A52">
              <w:rPr>
                <w:rFonts w:ascii="Calibri" w:eastAsia="Times New Roman" w:hAnsi="Calibri" w:cs="Calibri"/>
                <w:kern w:val="0"/>
                <w:lang w:eastAsia="en-GB"/>
                <w14:ligatures w14:val="none"/>
              </w:rPr>
              <w:t xml:space="preserve">and plans as part of the Supervisory Review and Evaluation Process (SREP). </w:t>
            </w:r>
          </w:p>
          <w:p w14:paraId="593E4CB6" w14:textId="77777777" w:rsidR="00D65757" w:rsidRDefault="00861A52" w:rsidP="00861A52">
            <w:pPr>
              <w:pStyle w:val="ListParagraph"/>
              <w:textAlignment w:val="baseline"/>
              <w:rPr>
                <w:rFonts w:ascii="Calibri" w:eastAsia="Times New Roman" w:hAnsi="Calibri" w:cs="Calibri"/>
                <w:kern w:val="0"/>
                <w:lang w:eastAsia="en-GB"/>
                <w14:ligatures w14:val="none"/>
              </w:rPr>
            </w:pPr>
            <w:r w:rsidRPr="00861A52">
              <w:rPr>
                <w:rFonts w:ascii="Calibri" w:eastAsia="Times New Roman" w:hAnsi="Calibri" w:cs="Calibri"/>
                <w:kern w:val="0"/>
                <w:lang w:eastAsia="en-GB"/>
                <w14:ligatures w14:val="none"/>
              </w:rPr>
              <w:lastRenderedPageBreak/>
              <w:t xml:space="preserve">Paragraph 9 (p. 8) confirms that these plans are evaluated by supervisors, not disclosed publicly. </w:t>
            </w:r>
          </w:p>
          <w:p w14:paraId="6FC140C2" w14:textId="415E0900" w:rsidR="00944E99" w:rsidRDefault="00861A52" w:rsidP="00D65757">
            <w:pPr>
              <w:pStyle w:val="ListParagraph"/>
              <w:textAlignment w:val="baseline"/>
              <w:rPr>
                <w:rFonts w:ascii="Calibri" w:eastAsia="Times New Roman" w:hAnsi="Calibri" w:cs="Calibri"/>
                <w:kern w:val="0"/>
                <w:lang w:eastAsia="en-GB"/>
                <w14:ligatures w14:val="none"/>
              </w:rPr>
            </w:pPr>
            <w:r w:rsidRPr="00861A52">
              <w:rPr>
                <w:rFonts w:ascii="Calibri" w:eastAsia="Times New Roman" w:hAnsi="Calibri" w:cs="Calibri"/>
                <w:kern w:val="0"/>
                <w:lang w:eastAsia="en-GB"/>
                <w14:ligatures w14:val="none"/>
              </w:rPr>
              <w:t>Institutions must also integrate ESG risks into the ICAAP, as set out in paragraphs 60</w:t>
            </w:r>
            <w:r>
              <w:rPr>
                <w:rFonts w:ascii="Calibri" w:eastAsia="Times New Roman" w:hAnsi="Calibri" w:cs="Calibri"/>
                <w:kern w:val="0"/>
                <w:lang w:eastAsia="en-GB"/>
                <w14:ligatures w14:val="none"/>
              </w:rPr>
              <w:t>-</w:t>
            </w:r>
            <w:r w:rsidRPr="00861A52">
              <w:rPr>
                <w:rFonts w:ascii="Calibri" w:eastAsia="Times New Roman" w:hAnsi="Calibri" w:cs="Calibri"/>
                <w:kern w:val="0"/>
                <w:lang w:eastAsia="en-GB"/>
                <w14:ligatures w14:val="none"/>
              </w:rPr>
              <w:t>63 (pp. 31</w:t>
            </w:r>
            <w:r>
              <w:rPr>
                <w:rFonts w:ascii="Calibri" w:eastAsia="Times New Roman" w:hAnsi="Calibri" w:cs="Calibri"/>
                <w:kern w:val="0"/>
                <w:lang w:eastAsia="en-GB"/>
                <w14:ligatures w14:val="none"/>
              </w:rPr>
              <w:t>-</w:t>
            </w:r>
            <w:r w:rsidRPr="00861A52">
              <w:rPr>
                <w:rFonts w:ascii="Calibri" w:eastAsia="Times New Roman" w:hAnsi="Calibri" w:cs="Calibri"/>
                <w:kern w:val="0"/>
                <w:lang w:eastAsia="en-GB"/>
                <w14:ligatures w14:val="none"/>
              </w:rPr>
              <w:t>32), including under adverse environmental stress scenarios.</w:t>
            </w:r>
          </w:p>
          <w:p w14:paraId="4D17D4D2" w14:textId="77777777" w:rsidR="00944E99" w:rsidRDefault="00944E99" w:rsidP="00944E99">
            <w:pPr>
              <w:pStyle w:val="ListParagraph"/>
              <w:numPr>
                <w:ilvl w:val="0"/>
                <w:numId w:val="52"/>
              </w:numPr>
              <w:textAlignment w:val="baseline"/>
              <w:rPr>
                <w:rFonts w:ascii="Calibri" w:eastAsia="Times New Roman" w:hAnsi="Calibri" w:cs="Calibri"/>
                <w:kern w:val="0"/>
                <w:lang w:eastAsia="en-GB"/>
                <w14:ligatures w14:val="none"/>
              </w:rPr>
            </w:pPr>
            <w:r w:rsidRPr="00944E99">
              <w:rPr>
                <w:rFonts w:ascii="Calibri" w:eastAsia="Times New Roman" w:hAnsi="Calibri" w:cs="Calibri"/>
                <w:kern w:val="0"/>
                <w:lang w:eastAsia="en-GB"/>
                <w14:ligatures w14:val="none"/>
              </w:rPr>
              <w:t>Pillar 3</w:t>
            </w:r>
          </w:p>
          <w:p w14:paraId="29F60DDB" w14:textId="77777777" w:rsidR="00D65757" w:rsidRDefault="00D65757" w:rsidP="00D65757">
            <w:pPr>
              <w:pStyle w:val="ListParagrap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w:t>
            </w:r>
            <w:r w:rsidRPr="00D65757">
              <w:rPr>
                <w:rFonts w:ascii="Calibri" w:eastAsia="Times New Roman" w:hAnsi="Calibri" w:cs="Calibri"/>
                <w:kern w:val="0"/>
                <w:lang w:eastAsia="en-GB"/>
                <w14:ligatures w14:val="none"/>
              </w:rPr>
              <w:t xml:space="preserve">aragraph 14 (p. 8) notes that while the plans are not themselves subject to disclosure, elements may be disclosed under CSRD and/or Pillar 3. </w:t>
            </w:r>
          </w:p>
          <w:p w14:paraId="19A08324" w14:textId="4689A7C5" w:rsidR="00D65757" w:rsidRPr="00944E99" w:rsidRDefault="00D65757" w:rsidP="00D65757">
            <w:pPr>
              <w:pStyle w:val="ListParagraph"/>
              <w:textAlignment w:val="baseline"/>
              <w:rPr>
                <w:rFonts w:ascii="Calibri" w:eastAsia="Times New Roman" w:hAnsi="Calibri" w:cs="Calibri"/>
                <w:kern w:val="0"/>
                <w:lang w:eastAsia="en-GB"/>
                <w14:ligatures w14:val="none"/>
              </w:rPr>
            </w:pPr>
            <w:r w:rsidRPr="00D65757">
              <w:rPr>
                <w:rFonts w:ascii="Calibri" w:eastAsia="Times New Roman" w:hAnsi="Calibri" w:cs="Calibri"/>
                <w:kern w:val="0"/>
                <w:lang w:eastAsia="en-GB"/>
                <w14:ligatures w14:val="none"/>
              </w:rPr>
              <w:t>Paragraph 25 (p. 21) also encourages use of ESG data disclosed by counterparties, aligning with market discipline objectives.</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493CCEB4" w:rsidR="007B7DEE" w:rsidRPr="00CF2E7C" w:rsidRDefault="00CC3F3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3DDBA2" w14:textId="5E49A37B" w:rsidR="007B7DEE" w:rsidRDefault="00AA1853" w:rsidP="00CF2E7C">
            <w:pPr>
              <w:textAlignment w:val="baseline"/>
              <w:rPr>
                <w:rFonts w:ascii="Calibri" w:eastAsia="Times New Roman" w:hAnsi="Calibri" w:cs="Calibri"/>
                <w:kern w:val="0"/>
                <w:lang w:eastAsia="en-GB"/>
                <w14:ligatures w14:val="none"/>
              </w:rPr>
            </w:pPr>
            <w:r w:rsidRPr="00AA1853">
              <w:rPr>
                <w:rFonts w:ascii="Calibri" w:eastAsia="Times New Roman" w:hAnsi="Calibri" w:cs="Calibri"/>
                <w:kern w:val="0"/>
                <w:lang w:eastAsia="en-GB"/>
                <w14:ligatures w14:val="none"/>
              </w:rPr>
              <w:t>The Guidelines use the NACE classification as referenced in Recital 6 of Commission Delegated Regulation (EU) 2020/1818</w:t>
            </w:r>
            <w:r w:rsidR="00D341B5">
              <w:rPr>
                <w:rFonts w:ascii="Calibri" w:eastAsia="Times New Roman" w:hAnsi="Calibri" w:cs="Calibri"/>
                <w:kern w:val="0"/>
                <w:lang w:eastAsia="en-GB"/>
                <w14:ligatures w14:val="none"/>
              </w:rPr>
              <w:t xml:space="preserve"> t</w:t>
            </w:r>
            <w:r w:rsidR="00D341B5" w:rsidRPr="00D341B5">
              <w:rPr>
                <w:rFonts w:ascii="Calibri" w:eastAsia="Times New Roman" w:hAnsi="Calibri" w:cs="Calibri"/>
                <w:kern w:val="0"/>
                <w:lang w:eastAsia="en-GB"/>
                <w14:ligatures w14:val="none"/>
              </w:rPr>
              <w:t>o identify carbon-intensive sectors for transition risk analysis and portfolio alignment assessments.</w:t>
            </w:r>
          </w:p>
          <w:p w14:paraId="209A5836" w14:textId="0F40D6DF" w:rsidR="00D341B5" w:rsidRDefault="00D341B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543AEE" w:rsidRPr="00543AEE">
              <w:rPr>
                <w:rFonts w:ascii="Calibri" w:eastAsia="Times New Roman" w:hAnsi="Calibri" w:cs="Calibri"/>
                <w:kern w:val="0"/>
                <w:lang w:eastAsia="en-GB"/>
                <w14:ligatures w14:val="none"/>
              </w:rPr>
              <w:t>Paragraph 15(a)(iii)(1) (p. 19) instructs institutions to identify exposures to sectors that contribute highly to climate change, based on Sections A to H and Section L of Annex I to Regulation (EC) No</w:t>
            </w:r>
            <w:r w:rsidR="00AC1124">
              <w:rPr>
                <w:rFonts w:ascii="Calibri" w:eastAsia="Times New Roman" w:hAnsi="Calibri" w:cs="Calibri"/>
                <w:kern w:val="0"/>
                <w:lang w:eastAsia="en-GB"/>
                <w14:ligatures w14:val="none"/>
              </w:rPr>
              <w:t>.</w:t>
            </w:r>
            <w:r w:rsidR="00543AEE" w:rsidRPr="00543AEE">
              <w:rPr>
                <w:rFonts w:ascii="Calibri" w:eastAsia="Times New Roman" w:hAnsi="Calibri" w:cs="Calibri"/>
                <w:kern w:val="0"/>
                <w:lang w:eastAsia="en-GB"/>
                <w14:ligatures w14:val="none"/>
              </w:rPr>
              <w:t xml:space="preserve"> 1893/2006 (NACE). This classification is used to assess transition risk exposure in the materiality assessment.</w:t>
            </w:r>
          </w:p>
          <w:p w14:paraId="1D97E6A4" w14:textId="059E3524" w:rsidR="00720AA0" w:rsidRDefault="00720AA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720AA0">
              <w:rPr>
                <w:rFonts w:ascii="Calibri" w:eastAsia="Times New Roman" w:hAnsi="Calibri" w:cs="Calibri"/>
                <w:kern w:val="0"/>
                <w:lang w:eastAsia="en-GB"/>
                <w14:ligatures w14:val="none"/>
              </w:rPr>
              <w:t>Paragraph 37 (p. 25) requires institutions to apply at least one portfolio alignment methodology to evaluate whether their portfolios are consistent with climate-related pathways or benchmark scenarios. These scenarios often rely on sectoral decarbonisation pathways consistent with EU objectives (e.g. net-zero by 2050), which are aligned with the EU taxonomy logic.</w:t>
            </w:r>
          </w:p>
          <w:p w14:paraId="6B3259B4" w14:textId="49BE5D74" w:rsidR="00720AA0" w:rsidRDefault="00720AA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720AA0">
              <w:rPr>
                <w:rFonts w:ascii="Calibri" w:eastAsia="Times New Roman" w:hAnsi="Calibri" w:cs="Calibri"/>
                <w:kern w:val="0"/>
                <w:lang w:eastAsia="en-GB"/>
                <w14:ligatures w14:val="none"/>
              </w:rPr>
              <w:t>Paragraph 38 (p. 25) further specifies that scenarios used should be science-based and consistent with EU climate goals, referencing sources such as the International Energy Agency, the IPCC and the EU’s own regulatory targets, suggesting functional alignment with the EU taxonomy’s environmental objectives.</w:t>
            </w:r>
          </w:p>
          <w:p w14:paraId="42397B76" w14:textId="6D5AD523" w:rsidR="00AA1853" w:rsidRPr="00CF2E7C" w:rsidRDefault="00AA1853"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27FB604C" w:rsidR="00ED7E12" w:rsidRPr="00CF2E7C" w:rsidRDefault="00F11A6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8F5AE5" w14:textId="26F23985" w:rsidR="00F45E28" w:rsidRPr="00F45E28" w:rsidRDefault="00F45E28" w:rsidP="00F45E28">
            <w:pPr>
              <w:textAlignment w:val="baseline"/>
              <w:rPr>
                <w:rFonts w:ascii="Calibri" w:eastAsia="Times New Roman" w:hAnsi="Calibri" w:cs="Calibri"/>
                <w:kern w:val="0"/>
                <w:lang w:eastAsia="en-GB"/>
                <w14:ligatures w14:val="none"/>
              </w:rPr>
            </w:pPr>
            <w:r w:rsidRPr="00F45E28">
              <w:rPr>
                <w:rFonts w:ascii="Calibri" w:eastAsia="Times New Roman" w:hAnsi="Calibri" w:cs="Calibri"/>
                <w:kern w:val="0"/>
                <w:lang w:eastAsia="en-GB"/>
                <w14:ligatures w14:val="none"/>
              </w:rPr>
              <w:t>According to paragraph 6(4) (pp. 5</w:t>
            </w:r>
            <w:r>
              <w:rPr>
                <w:rFonts w:ascii="Calibri" w:eastAsia="Times New Roman" w:hAnsi="Calibri" w:cs="Calibri"/>
                <w:kern w:val="0"/>
                <w:lang w:eastAsia="en-GB"/>
                <w14:ligatures w14:val="none"/>
              </w:rPr>
              <w:t>-</w:t>
            </w:r>
            <w:r w:rsidRPr="00F45E28">
              <w:rPr>
                <w:rFonts w:ascii="Calibri" w:eastAsia="Times New Roman" w:hAnsi="Calibri" w:cs="Calibri"/>
                <w:kern w:val="0"/>
                <w:lang w:eastAsia="en-GB"/>
                <w14:ligatures w14:val="none"/>
              </w:rPr>
              <w:t>6), competent authorities must assess and monitor the development of institutions’ ESG risk management practices, including their plans, quantifiable targets and monitoring processes. This supervisory assessment includes evaluating how institutions identify and address ESG risks in the short, medium</w:t>
            </w:r>
            <w:r>
              <w:rPr>
                <w:rFonts w:ascii="Calibri" w:eastAsia="Times New Roman" w:hAnsi="Calibri" w:cs="Calibri"/>
                <w:kern w:val="0"/>
                <w:lang w:eastAsia="en-GB"/>
                <w14:ligatures w14:val="none"/>
              </w:rPr>
              <w:t xml:space="preserve"> </w:t>
            </w:r>
            <w:r w:rsidRPr="00F45E28">
              <w:rPr>
                <w:rFonts w:ascii="Calibri" w:eastAsia="Times New Roman" w:hAnsi="Calibri" w:cs="Calibri"/>
                <w:kern w:val="0"/>
                <w:lang w:eastAsia="en-GB"/>
                <w14:ligatures w14:val="none"/>
              </w:rPr>
              <w:t>and long term.</w:t>
            </w:r>
          </w:p>
          <w:p w14:paraId="42FF8A1B" w14:textId="3D47DEBF" w:rsidR="00ED7E12" w:rsidRPr="00CF2E7C" w:rsidRDefault="00F45E28" w:rsidP="00F45E28">
            <w:pPr>
              <w:textAlignment w:val="baseline"/>
              <w:rPr>
                <w:rFonts w:ascii="Calibri" w:eastAsia="Times New Roman" w:hAnsi="Calibri" w:cs="Calibri"/>
                <w:kern w:val="0"/>
                <w:lang w:eastAsia="en-GB"/>
                <w14:ligatures w14:val="none"/>
              </w:rPr>
            </w:pPr>
            <w:r w:rsidRPr="00F45E28">
              <w:rPr>
                <w:rFonts w:ascii="Calibri" w:eastAsia="Times New Roman" w:hAnsi="Calibri" w:cs="Calibri"/>
                <w:kern w:val="0"/>
                <w:lang w:eastAsia="en-GB"/>
                <w14:ligatures w14:val="none"/>
              </w:rPr>
              <w:t>In paragraph 9 (p. 8), the Guidelines clarify that these CRD-based plans</w:t>
            </w:r>
            <w:r>
              <w:rPr>
                <w:rFonts w:ascii="Calibri" w:eastAsia="Times New Roman" w:hAnsi="Calibri" w:cs="Calibri"/>
                <w:kern w:val="0"/>
                <w:lang w:eastAsia="en-GB"/>
                <w14:ligatures w14:val="none"/>
              </w:rPr>
              <w:t xml:space="preserve"> </w:t>
            </w:r>
            <w:r w:rsidRPr="00F45E28">
              <w:rPr>
                <w:rFonts w:ascii="Calibri" w:eastAsia="Times New Roman" w:hAnsi="Calibri" w:cs="Calibri"/>
                <w:kern w:val="0"/>
                <w:lang w:eastAsia="en-GB"/>
                <w14:ligatures w14:val="none"/>
              </w:rPr>
              <w:t>will be reviewed by supervisors as part of the Supervisory Review and Evaluation Process (SREP).</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4A9F96F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947C2">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509A58F7" w:rsidR="00702413" w:rsidRPr="00CF2E7C" w:rsidRDefault="00850C0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00702413" w:rsidRPr="00CF2E7C">
              <w:rPr>
                <w:rFonts w:ascii="Calibri" w:eastAsia="Times New Roman" w:hAnsi="Calibri" w:cs="Calibri"/>
                <w:kern w:val="0"/>
                <w:lang w:val="en-SG" w:eastAsia="en-GB"/>
                <w14:ligatures w14:val="none"/>
              </w:rPr>
              <w:t> </w:t>
            </w:r>
            <w:r w:rsidR="00702413"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FCF7E0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A18D7">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4C554F4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A18D7">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313E60A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50C0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5F8CA26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410F5C8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50C0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055CBFA5" w:rsidR="00702413" w:rsidRPr="00CF2E7C" w:rsidRDefault="00850C0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00702413" w:rsidRPr="00CF2E7C">
              <w:rPr>
                <w:rFonts w:ascii="Calibri" w:eastAsia="Times New Roman" w:hAnsi="Calibri" w:cs="Calibri"/>
                <w:kern w:val="0"/>
                <w:lang w:val="en-SG" w:eastAsia="en-GB"/>
                <w14:ligatures w14:val="none"/>
              </w:rPr>
              <w:t> </w:t>
            </w:r>
            <w:r w:rsidR="00702413"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BC13BE6" w:rsidR="00C82860" w:rsidRPr="00CF2E7C" w:rsidRDefault="00EC5A1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4EA70A65" w:rsidR="005747A0" w:rsidRPr="00CF2E7C" w:rsidRDefault="005747A0" w:rsidP="00F94763">
            <w:pPr>
              <w:textAlignment w:val="baseline"/>
              <w:rPr>
                <w:rFonts w:ascii="Calibri" w:eastAsia="Times New Roman" w:hAnsi="Calibri" w:cs="Calibri"/>
                <w:kern w:val="0"/>
                <w:lang w:eastAsia="en-GB"/>
                <w14:ligatures w14:val="none"/>
              </w:rPr>
            </w:pPr>
            <w:r w:rsidRPr="005747A0">
              <w:rPr>
                <w:rFonts w:ascii="Calibri" w:eastAsia="Times New Roman" w:hAnsi="Calibri" w:cs="Calibri"/>
                <w:kern w:val="0"/>
                <w:lang w:eastAsia="en-GB"/>
                <w14:ligatures w14:val="none"/>
              </w:rPr>
              <w:t xml:space="preserve">The EBA Guidelines themselves do not create new disclosure </w:t>
            </w:r>
            <w:proofErr w:type="gramStart"/>
            <w:r w:rsidRPr="005747A0">
              <w:rPr>
                <w:rFonts w:ascii="Calibri" w:eastAsia="Times New Roman" w:hAnsi="Calibri" w:cs="Calibri"/>
                <w:kern w:val="0"/>
                <w:lang w:eastAsia="en-GB"/>
                <w14:ligatures w14:val="none"/>
              </w:rPr>
              <w:t>thresholds, but</w:t>
            </w:r>
            <w:proofErr w:type="gramEnd"/>
            <w:r w:rsidRPr="005747A0">
              <w:rPr>
                <w:rFonts w:ascii="Calibri" w:eastAsia="Times New Roman" w:hAnsi="Calibri" w:cs="Calibri"/>
                <w:kern w:val="0"/>
                <w:lang w:eastAsia="en-GB"/>
                <w14:ligatures w14:val="none"/>
              </w:rPr>
              <w:t xml:space="preserve"> acknowledge that disclosure obligations for ESG risk management and governance practices may arise via CRR and CSRD</w:t>
            </w:r>
            <w:r w:rsidR="00F94763">
              <w:rPr>
                <w:rFonts w:ascii="Calibri" w:eastAsia="Times New Roman" w:hAnsi="Calibri" w:cs="Calibri"/>
                <w:kern w:val="0"/>
                <w:lang w:eastAsia="en-GB"/>
                <w14:ligatures w14:val="none"/>
              </w:rPr>
              <w:t xml:space="preserve"> (p. 18, paragraph 14)</w:t>
            </w:r>
            <w:r w:rsidRPr="005747A0">
              <w:rPr>
                <w:rFonts w:ascii="Calibri" w:eastAsia="Times New Roman" w:hAnsi="Calibri" w:cs="Calibri"/>
                <w:kern w:val="0"/>
                <w:lang w:eastAsia="en-GB"/>
                <w14:ligatures w14:val="none"/>
              </w:rPr>
              <w:t>, depending on entity size and regulatory classification.</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09BE4207" w:rsidR="00C82860" w:rsidRPr="00CF2E7C" w:rsidRDefault="00D141D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01EDE07" w14:textId="526B2502" w:rsidR="00C82860" w:rsidRDefault="00D141D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EBA </w:t>
            </w:r>
            <w:r w:rsidRPr="00D141DD">
              <w:rPr>
                <w:rFonts w:ascii="Calibri" w:eastAsia="Times New Roman" w:hAnsi="Calibri" w:cs="Calibri"/>
                <w:kern w:val="0"/>
                <w:lang w:eastAsia="en-GB"/>
                <w14:ligatures w14:val="none"/>
              </w:rPr>
              <w:t>Guidelines r</w:t>
            </w:r>
            <w:r w:rsidRPr="00D141DD">
              <w:rPr>
                <w:rFonts w:ascii="Calibri" w:eastAsia="Times New Roman" w:hAnsi="Calibri" w:cs="Calibri"/>
                <w:kern w:val="0"/>
                <w:lang w:eastAsia="en-GB"/>
                <w14:ligatures w14:val="none"/>
              </w:rPr>
              <w:t>equire</w:t>
            </w:r>
            <w:r w:rsidRPr="00D141DD">
              <w:rPr>
                <w:rFonts w:ascii="Calibri" w:eastAsia="Times New Roman" w:hAnsi="Calibri" w:cs="Calibri"/>
                <w:kern w:val="0"/>
                <w:lang w:eastAsia="en-GB"/>
                <w14:ligatures w14:val="none"/>
              </w:rPr>
              <w:t>s</w:t>
            </w:r>
            <w:r w:rsidRPr="00D141DD">
              <w:rPr>
                <w:rFonts w:ascii="Calibri" w:eastAsia="Times New Roman" w:hAnsi="Calibri" w:cs="Calibri"/>
                <w:kern w:val="0"/>
                <w:lang w:eastAsia="en-GB"/>
                <w14:ligatures w14:val="none"/>
              </w:rPr>
              <w:t xml:space="preserve"> institutions to include climate-related (and broader ESG-related) risk assessments as part of their due diligence for new clients and transactions</w:t>
            </w:r>
            <w:r w:rsidR="00211B92">
              <w:rPr>
                <w:rFonts w:ascii="Calibri" w:eastAsia="Times New Roman" w:hAnsi="Calibri" w:cs="Calibri"/>
                <w:kern w:val="0"/>
                <w:lang w:eastAsia="en-GB"/>
                <w14:ligatures w14:val="none"/>
              </w:rPr>
              <w:t xml:space="preserve"> (p. 29, paragraph 50)</w:t>
            </w:r>
            <w:r w:rsidRPr="00D141DD">
              <w:rPr>
                <w:rFonts w:ascii="Calibri" w:eastAsia="Times New Roman" w:hAnsi="Calibri" w:cs="Calibri"/>
                <w:kern w:val="0"/>
                <w:lang w:eastAsia="en-GB"/>
                <w14:ligatures w14:val="none"/>
              </w:rPr>
              <w:t>.</w:t>
            </w:r>
          </w:p>
          <w:p w14:paraId="5464A3A5" w14:textId="60FE2B41" w:rsidR="00220696" w:rsidRPr="00CF2E7C" w:rsidRDefault="00C354CC" w:rsidP="00CF2E7C">
            <w:pPr>
              <w:textAlignment w:val="baseline"/>
              <w:rPr>
                <w:rFonts w:ascii="Calibri" w:eastAsia="Times New Roman" w:hAnsi="Calibri" w:cs="Calibri"/>
                <w:kern w:val="0"/>
                <w:lang w:eastAsia="en-GB"/>
                <w14:ligatures w14:val="none"/>
              </w:rPr>
            </w:pPr>
            <w:r w:rsidRPr="00C354CC">
              <w:rPr>
                <w:rFonts w:ascii="Calibri" w:eastAsia="Times New Roman" w:hAnsi="Calibri" w:cs="Calibri"/>
                <w:kern w:val="0"/>
                <w:lang w:eastAsia="en-GB"/>
                <w14:ligatures w14:val="none"/>
              </w:rPr>
              <w:t>Thus, institutions must systematically integrate ESG and climate risk considerations into their credit-granting, onboarding and product development processes.</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3B2F8AA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5D5052">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29E6F0A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5D5052">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1BABE5A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5D5052">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2C970CF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5D5052">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33F8F5D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E2DFB">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FE77CB7" w14:textId="59091A5F" w:rsidR="009652A4" w:rsidRDefault="00CC5A36" w:rsidP="009652A4">
            <w:pPr>
              <w:pStyle w:val="ListParagraph"/>
              <w:numPr>
                <w:ilvl w:val="0"/>
                <w:numId w:val="53"/>
              </w:numPr>
              <w:textAlignment w:val="baseline"/>
              <w:rPr>
                <w:rFonts w:ascii="Calibri" w:eastAsia="Times New Roman" w:hAnsi="Calibri" w:cs="Calibri"/>
                <w:kern w:val="0"/>
                <w:lang w:eastAsia="en-GB"/>
                <w14:ligatures w14:val="none"/>
              </w:rPr>
            </w:pPr>
            <w:r w:rsidRPr="006359EC">
              <w:rPr>
                <w:rFonts w:ascii="Calibri" w:eastAsia="Times New Roman" w:hAnsi="Calibri" w:cs="Calibri"/>
                <w:kern w:val="0"/>
                <w:lang w:eastAsia="en-GB"/>
                <w14:ligatures w14:val="none"/>
              </w:rPr>
              <w:t>Exposure to geographical</w:t>
            </w:r>
            <w:r w:rsidR="003B7F10">
              <w:rPr>
                <w:rFonts w:ascii="Calibri" w:eastAsia="Times New Roman" w:hAnsi="Calibri" w:cs="Calibri"/>
                <w:kern w:val="0"/>
                <w:lang w:eastAsia="en-GB"/>
                <w14:ligatures w14:val="none"/>
              </w:rPr>
              <w:t>/economic</w:t>
            </w:r>
            <w:r w:rsidRPr="006359EC">
              <w:rPr>
                <w:rFonts w:ascii="Calibri" w:eastAsia="Times New Roman" w:hAnsi="Calibri" w:cs="Calibri"/>
                <w:kern w:val="0"/>
                <w:lang w:eastAsia="en-GB"/>
                <w14:ligatures w14:val="none"/>
              </w:rPr>
              <w:t xml:space="preserve"> areas with higher climate physical risk </w:t>
            </w:r>
            <w:r w:rsidR="00F870C0">
              <w:rPr>
                <w:rFonts w:ascii="Calibri" w:eastAsia="Times New Roman" w:hAnsi="Calibri" w:cs="Calibri"/>
                <w:kern w:val="0"/>
                <w:lang w:eastAsia="en-GB"/>
                <w14:ligatures w14:val="none"/>
              </w:rPr>
              <w:t>(p. 19, p</w:t>
            </w:r>
            <w:r w:rsidR="00F870C0" w:rsidRPr="00F870C0">
              <w:rPr>
                <w:rFonts w:ascii="Calibri" w:eastAsia="Times New Roman" w:hAnsi="Calibri" w:cs="Calibri"/>
                <w:kern w:val="0"/>
                <w:lang w:eastAsia="en-GB"/>
                <w14:ligatures w14:val="none"/>
              </w:rPr>
              <w:t>aragraph 15(a)(</w:t>
            </w:r>
            <w:proofErr w:type="spellStart"/>
            <w:r w:rsidR="00F870C0" w:rsidRPr="00F870C0">
              <w:rPr>
                <w:rFonts w:ascii="Calibri" w:eastAsia="Times New Roman" w:hAnsi="Calibri" w:cs="Calibri"/>
                <w:kern w:val="0"/>
                <w:lang w:eastAsia="en-GB"/>
                <w14:ligatures w14:val="none"/>
              </w:rPr>
              <w:t>i</w:t>
            </w:r>
            <w:proofErr w:type="spellEnd"/>
            <w:r w:rsidR="00F870C0" w:rsidRPr="00F870C0">
              <w:rPr>
                <w:rFonts w:ascii="Calibri" w:eastAsia="Times New Roman" w:hAnsi="Calibri" w:cs="Calibri"/>
                <w:kern w:val="0"/>
                <w:lang w:eastAsia="en-GB"/>
                <w14:ligatures w14:val="none"/>
              </w:rPr>
              <w:t>)-(ii)</w:t>
            </w:r>
            <w:r w:rsidR="00F870C0">
              <w:rPr>
                <w:rFonts w:ascii="Calibri" w:eastAsia="Times New Roman" w:hAnsi="Calibri" w:cs="Calibri"/>
                <w:kern w:val="0"/>
                <w:lang w:eastAsia="en-GB"/>
                <w14:ligatures w14:val="none"/>
              </w:rPr>
              <w:t>)</w:t>
            </w:r>
          </w:p>
          <w:p w14:paraId="12CD6436" w14:textId="106B2C1D" w:rsidR="009652A4" w:rsidRDefault="00F870C0" w:rsidP="009652A4">
            <w:pPr>
              <w:pStyle w:val="ListParagrap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w:t>
            </w:r>
            <w:r w:rsidR="009652A4" w:rsidRPr="009652A4">
              <w:rPr>
                <w:rFonts w:ascii="Calibri" w:eastAsia="Times New Roman" w:hAnsi="Calibri" w:cs="Calibri"/>
                <w:kern w:val="0"/>
                <w:lang w:eastAsia="en-GB"/>
                <w14:ligatures w14:val="none"/>
              </w:rPr>
              <w:t xml:space="preserve">nstitutions </w:t>
            </w:r>
            <w:r>
              <w:rPr>
                <w:rFonts w:ascii="Calibri" w:eastAsia="Times New Roman" w:hAnsi="Calibri" w:cs="Calibri"/>
                <w:kern w:val="0"/>
                <w:lang w:eastAsia="en-GB"/>
                <w14:ligatures w14:val="none"/>
              </w:rPr>
              <w:t>must</w:t>
            </w:r>
            <w:r w:rsidR="009652A4" w:rsidRPr="009652A4">
              <w:rPr>
                <w:rFonts w:ascii="Calibri" w:eastAsia="Times New Roman" w:hAnsi="Calibri" w:cs="Calibri"/>
                <w:kern w:val="0"/>
                <w:lang w:eastAsia="en-GB"/>
                <w14:ligatures w14:val="none"/>
              </w:rPr>
              <w:t xml:space="preserve"> assess physical risks based on</w:t>
            </w:r>
            <w:r w:rsidR="009652A4">
              <w:rPr>
                <w:rFonts w:ascii="Calibri" w:eastAsia="Times New Roman" w:hAnsi="Calibri" w:cs="Calibri"/>
                <w:kern w:val="0"/>
                <w:lang w:eastAsia="en-GB"/>
                <w14:ligatures w14:val="none"/>
              </w:rPr>
              <w:t xml:space="preserve"> t</w:t>
            </w:r>
            <w:r w:rsidR="009652A4">
              <w:t>h</w:t>
            </w:r>
            <w:r w:rsidR="009652A4" w:rsidRPr="009652A4">
              <w:rPr>
                <w:rFonts w:ascii="Calibri" w:eastAsia="Times New Roman" w:hAnsi="Calibri" w:cs="Calibri"/>
                <w:kern w:val="0"/>
                <w:lang w:eastAsia="en-GB"/>
                <w14:ligatures w14:val="none"/>
              </w:rPr>
              <w:t>e</w:t>
            </w:r>
            <w:r w:rsidR="009652A4" w:rsidRPr="009652A4">
              <w:rPr>
                <w:rFonts w:ascii="Calibri" w:eastAsia="Times New Roman" w:hAnsi="Calibri" w:cs="Calibri"/>
                <w:kern w:val="0"/>
                <w:lang w:eastAsia="en-GB"/>
                <w14:ligatures w14:val="none"/>
              </w:rPr>
              <w:t xml:space="preserve"> economic sector of the counterparty</w:t>
            </w:r>
            <w:r w:rsidR="009652A4">
              <w:rPr>
                <w:rFonts w:ascii="Calibri" w:eastAsia="Times New Roman" w:hAnsi="Calibri" w:cs="Calibri"/>
                <w:kern w:val="0"/>
                <w:lang w:eastAsia="en-GB"/>
                <w14:ligatures w14:val="none"/>
              </w:rPr>
              <w:t xml:space="preserve">, and </w:t>
            </w:r>
            <w:r w:rsidR="00A45E54" w:rsidRPr="00A45E54">
              <w:rPr>
                <w:rFonts w:ascii="Calibri" w:eastAsia="Times New Roman" w:hAnsi="Calibri" w:cs="Calibri"/>
                <w:kern w:val="0"/>
                <w:lang w:eastAsia="en-GB"/>
                <w14:ligatures w14:val="none"/>
              </w:rPr>
              <w:t>the geographical location of the counterparty’s assets or operations</w:t>
            </w:r>
            <w:r w:rsidR="00A45E54">
              <w:rPr>
                <w:rFonts w:ascii="Calibri" w:eastAsia="Times New Roman" w:hAnsi="Calibri" w:cs="Calibri"/>
                <w:kern w:val="0"/>
                <w:lang w:eastAsia="en-GB"/>
                <w14:ligatures w14:val="none"/>
              </w:rPr>
              <w:t>.</w:t>
            </w:r>
          </w:p>
          <w:p w14:paraId="5D670083" w14:textId="77777777" w:rsidR="00A45E54" w:rsidRDefault="00A45E54" w:rsidP="009652A4">
            <w:pPr>
              <w:pStyle w:val="ListParagraph"/>
              <w:textAlignment w:val="baseline"/>
              <w:rPr>
                <w:rFonts w:ascii="Calibri" w:eastAsia="Times New Roman" w:hAnsi="Calibri" w:cs="Calibri"/>
                <w:kern w:val="0"/>
                <w:lang w:eastAsia="en-GB"/>
                <w14:ligatures w14:val="none"/>
              </w:rPr>
            </w:pPr>
          </w:p>
          <w:p w14:paraId="6A44AF9F" w14:textId="1281D276" w:rsidR="00F870C0" w:rsidRDefault="00A45E54" w:rsidP="00F870C0">
            <w:pPr>
              <w:pStyle w:val="ListParagraph"/>
              <w:numPr>
                <w:ilvl w:val="0"/>
                <w:numId w:val="53"/>
              </w:numPr>
              <w:textAlignment w:val="baseline"/>
              <w:rPr>
                <w:rFonts w:ascii="Calibri" w:eastAsia="Times New Roman" w:hAnsi="Calibri" w:cs="Calibri"/>
                <w:kern w:val="0"/>
                <w:lang w:eastAsia="en-GB"/>
                <w14:ligatures w14:val="none"/>
              </w:rPr>
            </w:pPr>
            <w:r w:rsidRPr="00A45E54">
              <w:rPr>
                <w:rFonts w:ascii="Calibri" w:eastAsia="Times New Roman" w:hAnsi="Calibri" w:cs="Calibri"/>
                <w:kern w:val="0"/>
                <w:lang w:eastAsia="en-GB"/>
                <w14:ligatures w14:val="none"/>
              </w:rPr>
              <w:t>Exposure to geographical</w:t>
            </w:r>
            <w:r w:rsidR="003B7F10">
              <w:rPr>
                <w:rFonts w:ascii="Calibri" w:eastAsia="Times New Roman" w:hAnsi="Calibri" w:cs="Calibri"/>
                <w:kern w:val="0"/>
                <w:lang w:eastAsia="en-GB"/>
                <w14:ligatures w14:val="none"/>
              </w:rPr>
              <w:t>/economic</w:t>
            </w:r>
            <w:r w:rsidRPr="00A45E54">
              <w:rPr>
                <w:rFonts w:ascii="Calibri" w:eastAsia="Times New Roman" w:hAnsi="Calibri" w:cs="Calibri"/>
                <w:kern w:val="0"/>
                <w:lang w:eastAsia="en-GB"/>
                <w14:ligatures w14:val="none"/>
              </w:rPr>
              <w:t xml:space="preserve"> areas with higher climate transition risk </w:t>
            </w:r>
            <w:r w:rsidR="00F870C0">
              <w:rPr>
                <w:rFonts w:ascii="Calibri" w:eastAsia="Times New Roman" w:hAnsi="Calibri" w:cs="Calibri"/>
                <w:kern w:val="0"/>
                <w:lang w:eastAsia="en-GB"/>
                <w14:ligatures w14:val="none"/>
              </w:rPr>
              <w:t>(p. 19, p</w:t>
            </w:r>
            <w:r w:rsidR="00F870C0" w:rsidRPr="00F870C0">
              <w:rPr>
                <w:rFonts w:ascii="Calibri" w:eastAsia="Times New Roman" w:hAnsi="Calibri" w:cs="Calibri"/>
                <w:kern w:val="0"/>
                <w:lang w:eastAsia="en-GB"/>
                <w14:ligatures w14:val="none"/>
              </w:rPr>
              <w:t>aragraph 15(a)(</w:t>
            </w:r>
            <w:proofErr w:type="spellStart"/>
            <w:r w:rsidR="00F870C0" w:rsidRPr="00F870C0">
              <w:rPr>
                <w:rFonts w:ascii="Calibri" w:eastAsia="Times New Roman" w:hAnsi="Calibri" w:cs="Calibri"/>
                <w:kern w:val="0"/>
                <w:lang w:eastAsia="en-GB"/>
                <w14:ligatures w14:val="none"/>
              </w:rPr>
              <w:t>i</w:t>
            </w:r>
            <w:proofErr w:type="spellEnd"/>
            <w:r w:rsidR="00F870C0" w:rsidRPr="00F870C0">
              <w:rPr>
                <w:rFonts w:ascii="Calibri" w:eastAsia="Times New Roman" w:hAnsi="Calibri" w:cs="Calibri"/>
                <w:kern w:val="0"/>
                <w:lang w:eastAsia="en-GB"/>
                <w14:ligatures w14:val="none"/>
              </w:rPr>
              <w:t>)-(iii)</w:t>
            </w:r>
            <w:r w:rsidR="00F870C0">
              <w:rPr>
                <w:rFonts w:ascii="Calibri" w:eastAsia="Times New Roman" w:hAnsi="Calibri" w:cs="Calibri"/>
                <w:kern w:val="0"/>
                <w:lang w:eastAsia="en-GB"/>
                <w14:ligatures w14:val="none"/>
              </w:rPr>
              <w:t>)</w:t>
            </w:r>
          </w:p>
          <w:p w14:paraId="53CCFA24" w14:textId="77777777" w:rsidR="006359EC" w:rsidRDefault="00F870C0" w:rsidP="00F870C0">
            <w:pPr>
              <w:pStyle w:val="ListParagrap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Institutions must assess </w:t>
            </w:r>
            <w:r w:rsidR="00C6267D" w:rsidRPr="00F870C0">
              <w:rPr>
                <w:rFonts w:ascii="Calibri" w:eastAsia="Times New Roman" w:hAnsi="Calibri" w:cs="Calibri"/>
                <w:kern w:val="0"/>
                <w:lang w:eastAsia="en-GB"/>
                <w14:ligatures w14:val="none"/>
              </w:rPr>
              <w:t>transition risks based on</w:t>
            </w:r>
            <w:r w:rsidR="00C6267D" w:rsidRPr="00F870C0">
              <w:rPr>
                <w:rFonts w:ascii="Calibri" w:eastAsia="Times New Roman" w:hAnsi="Calibri" w:cs="Calibri"/>
                <w:kern w:val="0"/>
                <w:lang w:eastAsia="en-GB"/>
                <w14:ligatures w14:val="none"/>
              </w:rPr>
              <w:t xml:space="preserve"> </w:t>
            </w:r>
            <w:r w:rsidR="00C6267D" w:rsidRPr="00F870C0">
              <w:rPr>
                <w:rFonts w:ascii="Calibri" w:eastAsia="Times New Roman" w:hAnsi="Calibri" w:cs="Calibri"/>
                <w:kern w:val="0"/>
                <w:lang w:eastAsia="en-GB"/>
                <w14:ligatures w14:val="none"/>
              </w:rPr>
              <w:t>the greenhouse gas emissions of the counterparty or sector,</w:t>
            </w:r>
            <w:r w:rsidR="00C6267D" w:rsidRPr="00F870C0">
              <w:rPr>
                <w:rFonts w:ascii="Calibri" w:eastAsia="Times New Roman" w:hAnsi="Calibri" w:cs="Calibri"/>
                <w:kern w:val="0"/>
                <w:lang w:eastAsia="en-GB"/>
                <w14:ligatures w14:val="none"/>
              </w:rPr>
              <w:t xml:space="preserve"> </w:t>
            </w:r>
            <w:r w:rsidRPr="00F870C0">
              <w:rPr>
                <w:rFonts w:ascii="Calibri" w:eastAsia="Times New Roman" w:hAnsi="Calibri" w:cs="Calibri"/>
                <w:kern w:val="0"/>
                <w:lang w:eastAsia="en-GB"/>
                <w14:ligatures w14:val="none"/>
              </w:rPr>
              <w:t>the geographical location and its exposure to local climate policies,</w:t>
            </w:r>
            <w:r w:rsidRPr="00F870C0">
              <w:rPr>
                <w:rFonts w:ascii="Calibri" w:eastAsia="Times New Roman" w:hAnsi="Calibri" w:cs="Calibri"/>
                <w:kern w:val="0"/>
                <w:lang w:eastAsia="en-GB"/>
                <w14:ligatures w14:val="none"/>
              </w:rPr>
              <w:t xml:space="preserve"> a</w:t>
            </w:r>
            <w:r w:rsidRPr="00F870C0">
              <w:rPr>
                <w:rFonts w:ascii="Calibri" w:eastAsia="Times New Roman" w:hAnsi="Calibri" w:cs="Calibri"/>
                <w:kern w:val="0"/>
                <w:lang w:eastAsia="en-GB"/>
                <w14:ligatures w14:val="none"/>
              </w:rPr>
              <w:t>nd the type of economic activity, using NACE codes from Annex I of Regulation (EC) No</w:t>
            </w:r>
            <w:r>
              <w:rPr>
                <w:rFonts w:ascii="Calibri" w:eastAsia="Times New Roman" w:hAnsi="Calibri" w:cs="Calibri"/>
                <w:kern w:val="0"/>
                <w:lang w:eastAsia="en-GB"/>
                <w14:ligatures w14:val="none"/>
              </w:rPr>
              <w:t>.</w:t>
            </w:r>
            <w:r w:rsidRPr="00F870C0">
              <w:rPr>
                <w:rFonts w:ascii="Calibri" w:eastAsia="Times New Roman" w:hAnsi="Calibri" w:cs="Calibri"/>
                <w:kern w:val="0"/>
                <w:lang w:eastAsia="en-GB"/>
                <w14:ligatures w14:val="none"/>
              </w:rPr>
              <w:t> 1893/2006, as referred to in Commission Delegated Regulation (EU) 2020/1818.</w:t>
            </w:r>
          </w:p>
          <w:p w14:paraId="78216893" w14:textId="77777777" w:rsidR="0081712F" w:rsidRDefault="0081712F" w:rsidP="00F870C0">
            <w:pPr>
              <w:pStyle w:val="ListParagraph"/>
              <w:textAlignment w:val="baseline"/>
              <w:rPr>
                <w:rFonts w:ascii="Calibri" w:eastAsia="Times New Roman" w:hAnsi="Calibri" w:cs="Calibri"/>
                <w:kern w:val="0"/>
                <w:lang w:eastAsia="en-GB"/>
                <w14:ligatures w14:val="none"/>
              </w:rPr>
            </w:pPr>
          </w:p>
          <w:p w14:paraId="0FE30D03" w14:textId="6F27E9A8" w:rsidR="00F870C0" w:rsidRDefault="003B7F10" w:rsidP="0081712F">
            <w:pPr>
              <w:pStyle w:val="ListParagraph"/>
              <w:numPr>
                <w:ilvl w:val="0"/>
                <w:numId w:val="53"/>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Other(s) </w:t>
            </w:r>
            <w:r w:rsidRPr="003B7F10">
              <w:rPr>
                <w:rFonts w:ascii="Calibri" w:eastAsia="Times New Roman" w:hAnsi="Calibri" w:cs="Calibri"/>
                <w:kern w:val="0"/>
                <w:lang w:eastAsia="en-GB"/>
                <w14:ligatures w14:val="none"/>
              </w:rPr>
              <w:t>(p</w:t>
            </w:r>
            <w:r w:rsidR="00606E36">
              <w:rPr>
                <w:rFonts w:ascii="Calibri" w:eastAsia="Times New Roman" w:hAnsi="Calibri" w:cs="Calibri"/>
                <w:kern w:val="0"/>
                <w:lang w:eastAsia="en-GB"/>
                <w14:ligatures w14:val="none"/>
              </w:rPr>
              <w:t xml:space="preserve">. </w:t>
            </w:r>
            <w:r w:rsidRPr="003B7F10">
              <w:rPr>
                <w:rFonts w:ascii="Calibri" w:eastAsia="Times New Roman" w:hAnsi="Calibri" w:cs="Calibri"/>
                <w:kern w:val="0"/>
                <w:lang w:eastAsia="en-GB"/>
                <w14:ligatures w14:val="none"/>
              </w:rPr>
              <w:t>25, paragraphs 3</w:t>
            </w:r>
            <w:r>
              <w:rPr>
                <w:rFonts w:ascii="Calibri" w:eastAsia="Times New Roman" w:hAnsi="Calibri" w:cs="Calibri"/>
                <w:kern w:val="0"/>
                <w:lang w:eastAsia="en-GB"/>
                <w14:ligatures w14:val="none"/>
              </w:rPr>
              <w:t>-</w:t>
            </w:r>
            <w:r w:rsidRPr="003B7F10">
              <w:rPr>
                <w:rFonts w:ascii="Calibri" w:eastAsia="Times New Roman" w:hAnsi="Calibri" w:cs="Calibri"/>
                <w:kern w:val="0"/>
                <w:lang w:eastAsia="en-GB"/>
                <w14:ligatures w14:val="none"/>
              </w:rPr>
              <w:t>38)</w:t>
            </w:r>
          </w:p>
          <w:p w14:paraId="5872D973" w14:textId="6B8158F0" w:rsidR="003B7F10" w:rsidRPr="005E33E0" w:rsidRDefault="00606E36" w:rsidP="005E33E0">
            <w:pPr>
              <w:pStyle w:val="ListParagraph"/>
              <w:textAlignment w:val="baseline"/>
              <w:rPr>
                <w:rFonts w:ascii="Calibri" w:eastAsia="Times New Roman" w:hAnsi="Calibri" w:cs="Calibri"/>
                <w:kern w:val="0"/>
                <w:lang w:eastAsia="en-GB"/>
                <w14:ligatures w14:val="none"/>
              </w:rPr>
            </w:pPr>
            <w:r w:rsidRPr="00606E36">
              <w:rPr>
                <w:rFonts w:ascii="Calibri" w:eastAsia="Times New Roman" w:hAnsi="Calibri" w:cs="Calibri"/>
                <w:kern w:val="0"/>
                <w:lang w:eastAsia="en-GB"/>
                <w14:ligatures w14:val="none"/>
              </w:rPr>
              <w:t>Institutions must apply at least one portfolio alignment methodology to assess their exposure to climate transition risk at portfolio level. This includes tools like temperature scores or alignment with scientific, EU-aligned climate scenarios</w:t>
            </w:r>
            <w:r w:rsidR="004052B8">
              <w:rPr>
                <w:rFonts w:ascii="Calibri" w:eastAsia="Times New Roman" w:hAnsi="Calibri" w:cs="Calibri"/>
                <w:kern w:val="0"/>
                <w:lang w:eastAsia="en-GB"/>
                <w14:ligatures w14:val="none"/>
              </w:rPr>
              <w:t>.</w:t>
            </w:r>
          </w:p>
          <w:p w14:paraId="593BA361" w14:textId="3D33F143" w:rsidR="003B7F10" w:rsidRPr="0081712F" w:rsidRDefault="003B7F10" w:rsidP="003B7F10">
            <w:pPr>
              <w:pStyle w:val="ListParagraph"/>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2684857B" w:rsidR="00655FF7" w:rsidRPr="00CF2E7C" w:rsidRDefault="003565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5A85A740" w:rsidR="003032A9" w:rsidRPr="00CF2E7C" w:rsidRDefault="003565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387C4453" w:rsidR="003D5104" w:rsidRPr="00CF2E7C" w:rsidRDefault="00A2451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055B561A" w:rsidR="003D5104" w:rsidRPr="00CF2E7C" w:rsidRDefault="00AC21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EBA Guidelines </w:t>
            </w:r>
            <w:r w:rsidRPr="00AC21E4">
              <w:rPr>
                <w:rFonts w:ascii="Calibri" w:eastAsia="Times New Roman" w:hAnsi="Calibri" w:cs="Calibri"/>
                <w:kern w:val="0"/>
                <w:lang w:eastAsia="en-GB"/>
                <w14:ligatures w14:val="none"/>
              </w:rPr>
              <w:t xml:space="preserve">do not prescribe specific types of climate </w:t>
            </w:r>
            <w:proofErr w:type="gramStart"/>
            <w:r w:rsidRPr="00AC21E4">
              <w:rPr>
                <w:rFonts w:ascii="Calibri" w:eastAsia="Times New Roman" w:hAnsi="Calibri" w:cs="Calibri"/>
                <w:kern w:val="0"/>
                <w:lang w:eastAsia="en-GB"/>
                <w14:ligatures w14:val="none"/>
              </w:rPr>
              <w:t>scenarios</w:t>
            </w:r>
            <w:r w:rsidR="00DC13BD">
              <w:rPr>
                <w:rFonts w:ascii="Calibri" w:eastAsia="Times New Roman" w:hAnsi="Calibri" w:cs="Calibri"/>
                <w:kern w:val="0"/>
                <w:lang w:eastAsia="en-GB"/>
                <w14:ligatures w14:val="none"/>
              </w:rPr>
              <w:t>, but</w:t>
            </w:r>
            <w:proofErr w:type="gramEnd"/>
            <w:r w:rsidR="00DC13BD">
              <w:rPr>
                <w:rFonts w:ascii="Calibri" w:eastAsia="Times New Roman" w:hAnsi="Calibri" w:cs="Calibri"/>
                <w:kern w:val="0"/>
                <w:lang w:eastAsia="en-GB"/>
                <w14:ligatures w14:val="none"/>
              </w:rPr>
              <w:t xml:space="preserve"> </w:t>
            </w:r>
            <w:r w:rsidRPr="00AC21E4">
              <w:rPr>
                <w:rFonts w:ascii="Calibri" w:eastAsia="Times New Roman" w:hAnsi="Calibri" w:cs="Calibri"/>
                <w:kern w:val="0"/>
                <w:lang w:eastAsia="en-GB"/>
                <w14:ligatures w14:val="none"/>
              </w:rPr>
              <w:t>provide general expectations regarding the nature and quality of scenarios institutions should use, particularly in the context of portfolio alignment methodologies</w:t>
            </w:r>
            <w:r w:rsidR="00DC13BD">
              <w:rPr>
                <w:rFonts w:ascii="Calibri" w:eastAsia="Times New Roman" w:hAnsi="Calibri" w:cs="Calibri"/>
                <w:kern w:val="0"/>
                <w:lang w:eastAsia="en-GB"/>
                <w14:ligatures w14:val="none"/>
              </w:rPr>
              <w:t xml:space="preserve"> (p. 25, paragraph 38)</w:t>
            </w:r>
            <w:r w:rsidRPr="00AC21E4">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31431E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78577A">
              <w:rPr>
                <w:rFonts w:ascii="Calibri" w:eastAsia="Times New Roman" w:hAnsi="Calibri" w:cs="Calibri"/>
                <w:kern w:val="0"/>
                <w:lang w:val="en-SG" w:eastAsia="en-GB"/>
                <w14:ligatures w14:val="none"/>
              </w:rPr>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6C1A495" w14:textId="148C81C7" w:rsidR="00CD505D" w:rsidRDefault="00CD505D" w:rsidP="00CF2E7C">
            <w:pPr>
              <w:textAlignment w:val="baseline"/>
              <w:rPr>
                <w:rFonts w:ascii="Calibri" w:eastAsia="Times New Roman" w:hAnsi="Calibri" w:cs="Calibri"/>
                <w:kern w:val="0"/>
                <w:lang w:eastAsia="en-GB"/>
                <w14:ligatures w14:val="none"/>
              </w:rPr>
            </w:pPr>
            <w:r w:rsidRPr="00CD505D">
              <w:rPr>
                <w:rFonts w:ascii="Calibri" w:eastAsia="Times New Roman" w:hAnsi="Calibri" w:cs="Calibri"/>
                <w:kern w:val="0"/>
                <w:lang w:eastAsia="en-GB"/>
                <w14:ligatures w14:val="none"/>
              </w:rPr>
              <w:t>Institutions are expected to select external, science-based scenarios that reflect their specific risk profile, sectors and geographies.</w:t>
            </w:r>
          </w:p>
          <w:p w14:paraId="43D60FA8" w14:textId="713B9B4C" w:rsidR="00BE1F9E" w:rsidRDefault="00902F01" w:rsidP="00CF2E7C">
            <w:pPr>
              <w:textAlignment w:val="baseline"/>
              <w:rPr>
                <w:rFonts w:ascii="Calibri" w:eastAsia="Times New Roman" w:hAnsi="Calibri" w:cs="Calibri"/>
                <w:kern w:val="0"/>
                <w:lang w:eastAsia="en-GB"/>
                <w14:ligatures w14:val="none"/>
              </w:rPr>
            </w:pPr>
            <w:r w:rsidRPr="00902F01">
              <w:rPr>
                <w:rFonts w:ascii="Calibri" w:eastAsia="Times New Roman" w:hAnsi="Calibri" w:cs="Calibri"/>
                <w:kern w:val="0"/>
                <w:lang w:eastAsia="en-GB"/>
                <w14:ligatures w14:val="none"/>
              </w:rPr>
              <w:t>Key requirement</w:t>
            </w:r>
            <w:r>
              <w:rPr>
                <w:rFonts w:ascii="Calibri" w:eastAsia="Times New Roman" w:hAnsi="Calibri" w:cs="Calibri"/>
                <w:kern w:val="0"/>
                <w:lang w:eastAsia="en-GB"/>
                <w14:ligatures w14:val="none"/>
              </w:rPr>
              <w:t>s (p. 25, paragraph 38):</w:t>
            </w:r>
          </w:p>
          <w:p w14:paraId="74E350DF" w14:textId="77777777" w:rsidR="00902F01" w:rsidRDefault="00FF09B6" w:rsidP="00902F01">
            <w:pPr>
              <w:pStyle w:val="ListParagraph"/>
              <w:numPr>
                <w:ilvl w:val="0"/>
                <w:numId w:val="54"/>
              </w:numPr>
              <w:textAlignment w:val="baseline"/>
              <w:rPr>
                <w:rFonts w:ascii="Calibri" w:eastAsia="Times New Roman" w:hAnsi="Calibri" w:cs="Calibri"/>
                <w:kern w:val="0"/>
                <w:lang w:eastAsia="en-GB"/>
                <w14:ligatures w14:val="none"/>
              </w:rPr>
            </w:pPr>
            <w:r w:rsidRPr="00FF09B6">
              <w:rPr>
                <w:rFonts w:ascii="Calibri" w:eastAsia="Times New Roman" w:hAnsi="Calibri" w:cs="Calibri"/>
                <w:kern w:val="0"/>
                <w:lang w:eastAsia="en-GB"/>
                <w14:ligatures w14:val="none"/>
              </w:rPr>
              <w:t>Scenarios should be</w:t>
            </w:r>
            <w:r>
              <w:rPr>
                <w:rFonts w:ascii="Calibri" w:eastAsia="Times New Roman" w:hAnsi="Calibri" w:cs="Calibri"/>
                <w:kern w:val="0"/>
                <w:lang w:eastAsia="en-GB"/>
                <w14:ligatures w14:val="none"/>
              </w:rPr>
              <w:t xml:space="preserve"> science-based, </w:t>
            </w:r>
            <w:r w:rsidRPr="00FF09B6">
              <w:rPr>
                <w:rFonts w:ascii="Calibri" w:eastAsia="Times New Roman" w:hAnsi="Calibri" w:cs="Calibri"/>
                <w:kern w:val="0"/>
                <w:lang w:eastAsia="en-GB"/>
                <w14:ligatures w14:val="none"/>
              </w:rPr>
              <w:t>relevant to the sector and geographical location of the institution’s exposures,</w:t>
            </w:r>
            <w:r>
              <w:rPr>
                <w:rFonts w:ascii="Calibri" w:eastAsia="Times New Roman" w:hAnsi="Calibri" w:cs="Calibri"/>
                <w:kern w:val="0"/>
                <w:lang w:eastAsia="en-GB"/>
                <w14:ligatures w14:val="none"/>
              </w:rPr>
              <w:t xml:space="preserve"> </w:t>
            </w:r>
            <w:r w:rsidRPr="00FF09B6">
              <w:rPr>
                <w:rFonts w:ascii="Calibri" w:eastAsia="Times New Roman" w:hAnsi="Calibri" w:cs="Calibri"/>
                <w:kern w:val="0"/>
                <w:lang w:eastAsia="en-GB"/>
                <w14:ligatures w14:val="none"/>
              </w:rPr>
              <w:t>up to date</w:t>
            </w:r>
            <w:r w:rsidR="00773E92">
              <w:rPr>
                <w:rFonts w:ascii="Calibri" w:eastAsia="Times New Roman" w:hAnsi="Calibri" w:cs="Calibri"/>
                <w:kern w:val="0"/>
                <w:lang w:eastAsia="en-GB"/>
                <w14:ligatures w14:val="none"/>
              </w:rPr>
              <w:t>, a</w:t>
            </w:r>
            <w:r w:rsidR="00773E92" w:rsidRPr="00773E92">
              <w:rPr>
                <w:rFonts w:ascii="Calibri" w:eastAsia="Times New Roman" w:hAnsi="Calibri" w:cs="Calibri"/>
                <w:kern w:val="0"/>
                <w:lang w:eastAsia="en-GB"/>
                <w14:ligatures w14:val="none"/>
              </w:rPr>
              <w:t xml:space="preserve">nd originate from national, EU or international </w:t>
            </w:r>
            <w:proofErr w:type="gramStart"/>
            <w:r w:rsidR="00773E92" w:rsidRPr="00773E92">
              <w:rPr>
                <w:rFonts w:ascii="Calibri" w:eastAsia="Times New Roman" w:hAnsi="Calibri" w:cs="Calibri"/>
                <w:kern w:val="0"/>
                <w:lang w:eastAsia="en-GB"/>
                <w14:ligatures w14:val="none"/>
              </w:rPr>
              <w:t>organisations</w:t>
            </w:r>
            <w:r w:rsidR="00773E92">
              <w:rPr>
                <w:rFonts w:ascii="Calibri" w:eastAsia="Times New Roman" w:hAnsi="Calibri" w:cs="Calibri"/>
                <w:kern w:val="0"/>
                <w:lang w:eastAsia="en-GB"/>
                <w14:ligatures w14:val="none"/>
              </w:rPr>
              <w:t>;</w:t>
            </w:r>
            <w:proofErr w:type="gramEnd"/>
          </w:p>
          <w:p w14:paraId="5C18CF55" w14:textId="156D592B" w:rsidR="00773E92" w:rsidRPr="00773E92" w:rsidRDefault="00773E92" w:rsidP="00773E92">
            <w:pPr>
              <w:pStyle w:val="ListParagraph"/>
              <w:numPr>
                <w:ilvl w:val="0"/>
                <w:numId w:val="54"/>
              </w:numPr>
              <w:rPr>
                <w:rFonts w:ascii="Calibri" w:eastAsia="Times New Roman" w:hAnsi="Calibri" w:cs="Calibri"/>
                <w:kern w:val="0"/>
                <w:lang w:eastAsia="en-GB"/>
                <w14:ligatures w14:val="none"/>
              </w:rPr>
            </w:pPr>
            <w:r w:rsidRPr="00773E92">
              <w:rPr>
                <w:rFonts w:ascii="Calibri" w:eastAsia="Times New Roman" w:hAnsi="Calibri" w:cs="Calibri"/>
                <w:kern w:val="0"/>
                <w:lang w:eastAsia="en-GB"/>
                <w14:ligatures w14:val="none"/>
              </w:rPr>
              <w:t>The sectoral decarbonisation pathways used in scenarios should align with policy objectives, such as</w:t>
            </w:r>
            <w:r>
              <w:rPr>
                <w:rFonts w:ascii="Calibri" w:eastAsia="Times New Roman" w:hAnsi="Calibri" w:cs="Calibri"/>
                <w:kern w:val="0"/>
                <w:lang w:eastAsia="en-GB"/>
                <w14:ligatures w14:val="none"/>
              </w:rPr>
              <w:t xml:space="preserve"> </w:t>
            </w:r>
            <w:r w:rsidRPr="00773E92">
              <w:rPr>
                <w:rFonts w:ascii="Calibri" w:eastAsia="Times New Roman" w:hAnsi="Calibri" w:cs="Calibri"/>
                <w:kern w:val="0"/>
                <w:lang w:eastAsia="en-GB"/>
                <w14:ligatures w14:val="none"/>
              </w:rPr>
              <w:t>the EU climate goal of net-zero GHG emissions by 2050</w:t>
            </w:r>
            <w:r w:rsidR="009F7F2D">
              <w:rPr>
                <w:rFonts w:ascii="Calibri" w:eastAsia="Times New Roman" w:hAnsi="Calibri" w:cs="Calibri"/>
                <w:kern w:val="0"/>
                <w:lang w:eastAsia="en-GB"/>
                <w14:ligatures w14:val="none"/>
              </w:rPr>
              <w:t xml:space="preserve">, and </w:t>
            </w:r>
            <w:r w:rsidR="009F7F2D" w:rsidRPr="009F7F2D">
              <w:rPr>
                <w:rFonts w:ascii="Calibri" w:eastAsia="Times New Roman" w:hAnsi="Calibri" w:cs="Calibri"/>
                <w:kern w:val="0"/>
                <w:lang w:eastAsia="en-GB"/>
                <w14:ligatures w14:val="none"/>
              </w:rPr>
              <w:t>the intermediate target of a 55% reduction by 2030</w:t>
            </w:r>
            <w:r w:rsidR="009F7F2D">
              <w:rPr>
                <w:rFonts w:ascii="Calibri" w:eastAsia="Times New Roman" w:hAnsi="Calibri" w:cs="Calibri"/>
                <w:kern w:val="0"/>
                <w:lang w:eastAsia="en-GB"/>
                <w14:ligatures w14:val="none"/>
              </w:rPr>
              <w:t>, or other national targets, where applicable.</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2A17694D" w:rsidR="00DC31BF" w:rsidRPr="00CF2E7C" w:rsidRDefault="00351C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6C940B11" w:rsidR="0098226E" w:rsidRPr="00CF2E7C" w:rsidRDefault="006732B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5A217F2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52191C71" w:rsidR="00F10A6E" w:rsidRPr="00CF2E7C" w:rsidRDefault="007926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2796AAC1" w:rsidR="00F10A6E" w:rsidRPr="00CF2E7C" w:rsidRDefault="007926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w:t>
            </w:r>
            <w:r w:rsidR="004A1B36" w:rsidRPr="004A1B36">
              <w:rPr>
                <w:rFonts w:ascii="Calibri" w:eastAsia="Times New Roman" w:hAnsi="Calibri" w:cs="Calibri"/>
                <w:kern w:val="0"/>
                <w:lang w:eastAsia="en-GB"/>
                <w14:ligatures w14:val="none"/>
              </w:rPr>
              <w:t>nstitutions are expected to use scenario analysis to evaluate how sensitive their exposures are to ESG risks over short-, medium- and long-term timeframes. However, the Guidelines do not provide a specific numerical definition of "long-term"</w:t>
            </w:r>
            <w:r w:rsidR="004A1B36">
              <w:rPr>
                <w:rFonts w:ascii="Calibri" w:eastAsia="Times New Roman" w:hAnsi="Calibri" w:cs="Calibri"/>
                <w:kern w:val="0"/>
                <w:lang w:eastAsia="en-GB"/>
                <w14:ligatures w14:val="none"/>
              </w:rPr>
              <w:t>.</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ED5ADFC" w:rsidR="00F26296" w:rsidRPr="00CF2E7C" w:rsidRDefault="00AD09E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bookmarkStart w:id="48" w:name="OpenAt"/>
            <w:bookmarkEnd w:id="48"/>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122E9BE" w14:textId="77777777" w:rsidR="00F26296" w:rsidRDefault="004B53A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w:t>
            </w:r>
            <w:r w:rsidRPr="004B53A0">
              <w:rPr>
                <w:rFonts w:ascii="Calibri" w:eastAsia="Times New Roman" w:hAnsi="Calibri" w:cs="Calibri"/>
                <w:kern w:val="0"/>
                <w:lang w:eastAsia="en-GB"/>
                <w14:ligatures w14:val="none"/>
              </w:rPr>
              <w:t>cenario analysis is meant to inform a comprehensive understanding of ESG risk exposure and to feed into institutions’ risk frameworks</w:t>
            </w:r>
            <w:r w:rsidR="00B44D78">
              <w:rPr>
                <w:rFonts w:ascii="Calibri" w:eastAsia="Times New Roman" w:hAnsi="Calibri" w:cs="Calibri"/>
                <w:kern w:val="0"/>
                <w:lang w:eastAsia="en-GB"/>
                <w14:ligatures w14:val="none"/>
              </w:rPr>
              <w:t xml:space="preserve"> (p. 22, paragraph 30)</w:t>
            </w:r>
            <w:r w:rsidRPr="004B53A0">
              <w:rPr>
                <w:rFonts w:ascii="Calibri" w:eastAsia="Times New Roman" w:hAnsi="Calibri" w:cs="Calibri"/>
                <w:kern w:val="0"/>
                <w:lang w:eastAsia="en-GB"/>
                <w14:ligatures w14:val="none"/>
              </w:rPr>
              <w:t>.</w:t>
            </w:r>
          </w:p>
          <w:p w14:paraId="02DA5710" w14:textId="70893F7D" w:rsidR="00B44D78" w:rsidRPr="00CF2E7C" w:rsidRDefault="00B44D78" w:rsidP="00CF2E7C">
            <w:pPr>
              <w:textAlignment w:val="baseline"/>
              <w:rPr>
                <w:rFonts w:ascii="Calibri" w:eastAsia="Times New Roman" w:hAnsi="Calibri" w:cs="Calibri"/>
                <w:kern w:val="0"/>
                <w:lang w:eastAsia="en-GB"/>
                <w14:ligatures w14:val="none"/>
              </w:rPr>
            </w:pPr>
            <w:r w:rsidRPr="00B44D78">
              <w:rPr>
                <w:rFonts w:ascii="Calibri" w:eastAsia="Times New Roman" w:hAnsi="Calibri" w:cs="Calibri"/>
                <w:kern w:val="0"/>
                <w:lang w:eastAsia="en-GB"/>
                <w14:ligatures w14:val="none"/>
              </w:rPr>
              <w:t>Institutions should integrate ESG risks, including insights from scenario-based analysis, into their internal risk classification procedures, credit scoring models, and assessment of default risk</w:t>
            </w:r>
            <w:r>
              <w:rPr>
                <w:rFonts w:ascii="Calibri" w:eastAsia="Times New Roman" w:hAnsi="Calibri" w:cs="Calibri"/>
                <w:kern w:val="0"/>
                <w:lang w:eastAsia="en-GB"/>
                <w14:ligatures w14:val="none"/>
              </w:rPr>
              <w:t xml:space="preserve"> (p. 23, paragraph 31).</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09D55D3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54AA2">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66FEE6ED"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54AA2">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8315A3" w14:textId="5D0C61C1" w:rsidR="00702413" w:rsidRDefault="003965A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Pr="003965AA">
              <w:rPr>
                <w:rFonts w:eastAsia="Times New Roman" w:cstheme="minorHAnsi"/>
                <w:kern w:val="0"/>
                <w:lang w:eastAsia="en-GB"/>
                <w14:ligatures w14:val="none"/>
              </w:rPr>
              <w:t>Financial institutions still lack granular, consistent and forward-looking data on counterparties' ESG exposures</w:t>
            </w:r>
            <w:r w:rsidR="00F87334">
              <w:rPr>
                <w:rFonts w:eastAsia="Times New Roman" w:cstheme="minorHAnsi"/>
                <w:kern w:val="0"/>
                <w:lang w:eastAsia="en-GB"/>
                <w14:ligatures w14:val="none"/>
              </w:rPr>
              <w:t>.</w:t>
            </w:r>
          </w:p>
          <w:p w14:paraId="718D87F5" w14:textId="52C77FA2" w:rsidR="003965AA" w:rsidRPr="009C4D10" w:rsidRDefault="00051FB1"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Pr="00051FB1">
              <w:rPr>
                <w:rFonts w:eastAsia="Times New Roman" w:cstheme="minorHAnsi"/>
                <w:kern w:val="0"/>
                <w:lang w:eastAsia="en-GB"/>
                <w14:ligatures w14:val="none"/>
              </w:rPr>
              <w:t>Scenario-based and forward-looking ESG risk methodologies are still in early stages of development and lack standardisation.</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5484643D" w:rsidR="00FE0EA5" w:rsidRPr="009C4D10" w:rsidRDefault="00FE0EA5" w:rsidP="00CF2E7C">
            <w:pPr>
              <w:rPr>
                <w:rFonts w:cstheme="minorHAnsi"/>
              </w:rPr>
            </w:pPr>
            <w:r w:rsidRPr="009C4D10">
              <w:rPr>
                <w:rFonts w:cstheme="minorHAnsi"/>
                <w:lang w:val="en-SG"/>
              </w:rPr>
              <w:t> </w:t>
            </w:r>
            <w:r w:rsidRPr="009C4D10">
              <w:rPr>
                <w:rFonts w:cstheme="minorHAnsi"/>
              </w:rPr>
              <w:t> </w:t>
            </w:r>
            <w:r w:rsidR="00A8064B">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6066D59" w:rsidR="00FE0EA5" w:rsidRPr="009C4D10" w:rsidRDefault="00FE0EA5" w:rsidP="00CF2E7C">
            <w:pPr>
              <w:rPr>
                <w:rFonts w:cstheme="minorHAnsi"/>
              </w:rPr>
            </w:pPr>
            <w:r w:rsidRPr="009C4D10">
              <w:rPr>
                <w:rFonts w:cstheme="minorHAnsi"/>
                <w:lang w:val="en-SG"/>
              </w:rPr>
              <w:t> </w:t>
            </w:r>
            <w:r w:rsidRPr="009C4D10">
              <w:rPr>
                <w:rFonts w:cstheme="minorHAnsi"/>
              </w:rPr>
              <w:t> </w:t>
            </w:r>
            <w:r w:rsidR="00A8064B">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E041D3D" w:rsidR="00FE0EA5" w:rsidRPr="009C4D10" w:rsidRDefault="00A8064B" w:rsidP="00CF2E7C">
            <w:pPr>
              <w:rPr>
                <w:rFonts w:cstheme="minorHAnsi"/>
              </w:rPr>
            </w:pPr>
            <w:r>
              <w:rPr>
                <w:rFonts w:cstheme="minorHAnsi"/>
              </w:rPr>
              <w:t xml:space="preserve">  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172C616A" w:rsidR="00FE0EA5" w:rsidRPr="009C4D10" w:rsidRDefault="00FE0EA5" w:rsidP="00CF2E7C">
            <w:pPr>
              <w:rPr>
                <w:rFonts w:cstheme="minorHAnsi"/>
              </w:rPr>
            </w:pPr>
            <w:r w:rsidRPr="009C4D10">
              <w:rPr>
                <w:rFonts w:cstheme="minorHAnsi"/>
                <w:lang w:val="en-SG"/>
              </w:rPr>
              <w:t> </w:t>
            </w:r>
            <w:r w:rsidRPr="009C4D10">
              <w:rPr>
                <w:rFonts w:cstheme="minorHAnsi"/>
              </w:rPr>
              <w:t> </w:t>
            </w:r>
            <w:r w:rsidR="00A8064B">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lastRenderedPageBreak/>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EE29622" w:rsidR="00FE0EA5" w:rsidRPr="009C4D10" w:rsidRDefault="00FE0EA5" w:rsidP="00CF2E7C">
            <w:pPr>
              <w:rPr>
                <w:rFonts w:cstheme="minorHAnsi"/>
              </w:rPr>
            </w:pPr>
            <w:r w:rsidRPr="009C4D10">
              <w:rPr>
                <w:rFonts w:cstheme="minorHAnsi"/>
                <w:lang w:val="en-SG"/>
              </w:rPr>
              <w:t> </w:t>
            </w:r>
            <w:r w:rsidRPr="009C4D10">
              <w:rPr>
                <w:rFonts w:cstheme="minorHAnsi"/>
              </w:rPr>
              <w:t> </w:t>
            </w:r>
            <w:r w:rsidR="00A8064B">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55A6829F" w:rsidR="00FE0EA5" w:rsidRPr="009C4D10" w:rsidRDefault="00FE0EA5" w:rsidP="00CF2E7C">
            <w:pPr>
              <w:rPr>
                <w:rFonts w:cstheme="minorHAnsi"/>
              </w:rPr>
            </w:pPr>
            <w:r w:rsidRPr="009C4D10">
              <w:rPr>
                <w:rFonts w:cstheme="minorHAnsi"/>
              </w:rPr>
              <w:t>  </w:t>
            </w:r>
            <w:r w:rsidR="00A8064B">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6FEDF9BB" w:rsidR="00FE0EA5" w:rsidRPr="009C4D10" w:rsidRDefault="00FE0EA5" w:rsidP="00CF2E7C">
            <w:pPr>
              <w:rPr>
                <w:rFonts w:cstheme="minorHAnsi"/>
              </w:rPr>
            </w:pPr>
            <w:r w:rsidRPr="009C4D10">
              <w:rPr>
                <w:rFonts w:cstheme="minorHAnsi"/>
                <w:lang w:val="en-SG"/>
              </w:rPr>
              <w:t> </w:t>
            </w:r>
            <w:r w:rsidRPr="009C4D10">
              <w:rPr>
                <w:rFonts w:cstheme="minorHAnsi"/>
              </w:rPr>
              <w:t> </w:t>
            </w:r>
            <w:r w:rsidR="00A8064B">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3931F082" w:rsidR="00C01AF9" w:rsidRPr="009C4D10" w:rsidRDefault="00AC1124" w:rsidP="00CF2E7C">
            <w:pPr>
              <w:rPr>
                <w:rFonts w:cstheme="minorHAnsi"/>
              </w:rPr>
            </w:pPr>
            <w:r>
              <w:rPr>
                <w:rFonts w:cstheme="minorHAnsi"/>
              </w:rPr>
              <w:t xml:space="preserve"> </w:t>
            </w: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lastRenderedPageBreak/>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612A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007BB7" w14:textId="77777777" w:rsidR="00E84A8D" w:rsidRDefault="00E84A8D" w:rsidP="00874E39">
      <w:r>
        <w:separator/>
      </w:r>
    </w:p>
  </w:endnote>
  <w:endnote w:type="continuationSeparator" w:id="0">
    <w:p w14:paraId="451C5141" w14:textId="77777777" w:rsidR="00E84A8D" w:rsidRDefault="00E84A8D" w:rsidP="00874E39">
      <w:r>
        <w:continuationSeparator/>
      </w:r>
    </w:p>
  </w:endnote>
  <w:endnote w:type="continuationNotice" w:id="1">
    <w:p w14:paraId="67106473" w14:textId="77777777" w:rsidR="00E84A8D" w:rsidRDefault="00E84A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48FE4A" w14:textId="77777777" w:rsidR="00E84A8D" w:rsidRDefault="00E84A8D" w:rsidP="00874E39">
      <w:r>
        <w:separator/>
      </w:r>
    </w:p>
  </w:footnote>
  <w:footnote w:type="continuationSeparator" w:id="0">
    <w:p w14:paraId="173EBE26" w14:textId="77777777" w:rsidR="00E84A8D" w:rsidRDefault="00E84A8D" w:rsidP="00874E39">
      <w:r>
        <w:continuationSeparator/>
      </w:r>
    </w:p>
  </w:footnote>
  <w:footnote w:type="continuationNotice" w:id="1">
    <w:p w14:paraId="00BAB5EB" w14:textId="77777777" w:rsidR="00E84A8D" w:rsidRDefault="00E84A8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A3A022F"/>
    <w:multiLevelType w:val="hybridMultilevel"/>
    <w:tmpl w:val="DF4869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1977A28"/>
    <w:multiLevelType w:val="hybridMultilevel"/>
    <w:tmpl w:val="B86A725C"/>
    <w:lvl w:ilvl="0" w:tplc="06B6EAA2">
      <w:numFmt w:val="bullet"/>
      <w:lvlText w:val="-"/>
      <w:lvlJc w:val="left"/>
      <w:pPr>
        <w:ind w:left="720" w:hanging="360"/>
      </w:pPr>
      <w:rPr>
        <w:rFonts w:ascii="Aptos" w:eastAsiaTheme="minorHAnsi" w:hAnsi="Apto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2131B83"/>
    <w:multiLevelType w:val="hybridMultilevel"/>
    <w:tmpl w:val="42FE9870"/>
    <w:lvl w:ilvl="0" w:tplc="06B6EAA2">
      <w:numFmt w:val="bullet"/>
      <w:lvlText w:val="-"/>
      <w:lvlJc w:val="left"/>
      <w:pPr>
        <w:ind w:left="720" w:hanging="360"/>
      </w:pPr>
      <w:rPr>
        <w:rFonts w:ascii="Aptos" w:eastAsiaTheme="minorHAnsi" w:hAnsi="Apto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1"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2"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3BA2B78"/>
    <w:multiLevelType w:val="hybridMultilevel"/>
    <w:tmpl w:val="66F09B06"/>
    <w:lvl w:ilvl="0" w:tplc="9120DB08">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11C7E5C"/>
    <w:multiLevelType w:val="hybridMultilevel"/>
    <w:tmpl w:val="FB2A2CDE"/>
    <w:lvl w:ilvl="0" w:tplc="9120DB08">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9"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1"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2" w15:restartNumberingAfterBreak="0">
    <w:nsid w:val="46417CD0"/>
    <w:multiLevelType w:val="hybridMultilevel"/>
    <w:tmpl w:val="54B03E42"/>
    <w:lvl w:ilvl="0" w:tplc="D7F09A98">
      <w:start w:val="202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4"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5"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6"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7"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8"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9"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0"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1"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4"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5"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8"/>
  </w:num>
  <w:num w:numId="3" w16cid:durableId="690952733">
    <w:abstractNumId w:val="47"/>
  </w:num>
  <w:num w:numId="4" w16cid:durableId="1689330127">
    <w:abstractNumId w:val="1"/>
  </w:num>
  <w:num w:numId="5" w16cid:durableId="401291788">
    <w:abstractNumId w:val="34"/>
  </w:num>
  <w:num w:numId="6" w16cid:durableId="1276788690">
    <w:abstractNumId w:val="16"/>
  </w:num>
  <w:num w:numId="7" w16cid:durableId="566767730">
    <w:abstractNumId w:val="24"/>
  </w:num>
  <w:num w:numId="8" w16cid:durableId="1780710843">
    <w:abstractNumId w:val="40"/>
  </w:num>
  <w:num w:numId="9" w16cid:durableId="1685783054">
    <w:abstractNumId w:val="3"/>
  </w:num>
  <w:num w:numId="10" w16cid:durableId="950551298">
    <w:abstractNumId w:val="37"/>
  </w:num>
  <w:num w:numId="11" w16cid:durableId="1591960799">
    <w:abstractNumId w:val="53"/>
  </w:num>
  <w:num w:numId="12" w16cid:durableId="1344891410">
    <w:abstractNumId w:val="12"/>
  </w:num>
  <w:num w:numId="13" w16cid:durableId="2023899324">
    <w:abstractNumId w:val="14"/>
  </w:num>
  <w:num w:numId="14" w16cid:durableId="430587014">
    <w:abstractNumId w:val="10"/>
  </w:num>
  <w:num w:numId="15" w16cid:durableId="1742869061">
    <w:abstractNumId w:val="36"/>
  </w:num>
  <w:num w:numId="16" w16cid:durableId="1996450437">
    <w:abstractNumId w:val="23"/>
  </w:num>
  <w:num w:numId="17" w16cid:durableId="1529031027">
    <w:abstractNumId w:val="11"/>
  </w:num>
  <w:num w:numId="18" w16cid:durableId="568614617">
    <w:abstractNumId w:val="21"/>
  </w:num>
  <w:num w:numId="19" w16cid:durableId="1530605858">
    <w:abstractNumId w:val="48"/>
  </w:num>
  <w:num w:numId="20" w16cid:durableId="1328172586">
    <w:abstractNumId w:val="18"/>
  </w:num>
  <w:num w:numId="21" w16cid:durableId="184827816">
    <w:abstractNumId w:val="33"/>
  </w:num>
  <w:num w:numId="22" w16cid:durableId="1785346599">
    <w:abstractNumId w:val="39"/>
  </w:num>
  <w:num w:numId="23" w16cid:durableId="1294288901">
    <w:abstractNumId w:val="31"/>
  </w:num>
  <w:num w:numId="24" w16cid:durableId="1603957975">
    <w:abstractNumId w:val="50"/>
  </w:num>
  <w:num w:numId="25" w16cid:durableId="1659531047">
    <w:abstractNumId w:val="49"/>
  </w:num>
  <w:num w:numId="26" w16cid:durableId="752774403">
    <w:abstractNumId w:val="26"/>
  </w:num>
  <w:num w:numId="27" w16cid:durableId="347872198">
    <w:abstractNumId w:val="7"/>
  </w:num>
  <w:num w:numId="28" w16cid:durableId="537133110">
    <w:abstractNumId w:val="15"/>
  </w:num>
  <w:num w:numId="29" w16cid:durableId="1632318729">
    <w:abstractNumId w:val="51"/>
  </w:num>
  <w:num w:numId="30" w16cid:durableId="1268124074">
    <w:abstractNumId w:val="38"/>
  </w:num>
  <w:num w:numId="31" w16cid:durableId="887108748">
    <w:abstractNumId w:val="35"/>
  </w:num>
  <w:num w:numId="32" w16cid:durableId="1826125712">
    <w:abstractNumId w:val="41"/>
  </w:num>
  <w:num w:numId="33" w16cid:durableId="823357978">
    <w:abstractNumId w:val="45"/>
  </w:num>
  <w:num w:numId="34" w16cid:durableId="1092120443">
    <w:abstractNumId w:val="44"/>
  </w:num>
  <w:num w:numId="35" w16cid:durableId="124861188">
    <w:abstractNumId w:val="13"/>
  </w:num>
  <w:num w:numId="36" w16cid:durableId="1952588250">
    <w:abstractNumId w:val="43"/>
  </w:num>
  <w:num w:numId="37" w16cid:durableId="1712027211">
    <w:abstractNumId w:val="4"/>
  </w:num>
  <w:num w:numId="38" w16cid:durableId="2033795929">
    <w:abstractNumId w:val="2"/>
  </w:num>
  <w:num w:numId="39" w16cid:durableId="1238595582">
    <w:abstractNumId w:val="29"/>
  </w:num>
  <w:num w:numId="40" w16cid:durableId="416558262">
    <w:abstractNumId w:val="25"/>
  </w:num>
  <w:num w:numId="41" w16cid:durableId="1543715517">
    <w:abstractNumId w:val="22"/>
  </w:num>
  <w:num w:numId="42" w16cid:durableId="452208391">
    <w:abstractNumId w:val="17"/>
  </w:num>
  <w:num w:numId="43" w16cid:durableId="260340070">
    <w:abstractNumId w:val="0"/>
  </w:num>
  <w:num w:numId="44" w16cid:durableId="1639914969">
    <w:abstractNumId w:val="6"/>
  </w:num>
  <w:num w:numId="45" w16cid:durableId="1554191892">
    <w:abstractNumId w:val="46"/>
  </w:num>
  <w:num w:numId="46" w16cid:durableId="947811845">
    <w:abstractNumId w:val="52"/>
  </w:num>
  <w:num w:numId="47" w16cid:durableId="342588554">
    <w:abstractNumId w:val="30"/>
  </w:num>
  <w:num w:numId="48" w16cid:durableId="318391343">
    <w:abstractNumId w:val="42"/>
  </w:num>
  <w:num w:numId="49" w16cid:durableId="525102943">
    <w:abstractNumId w:val="32"/>
  </w:num>
  <w:num w:numId="50" w16cid:durableId="1808622945">
    <w:abstractNumId w:val="9"/>
  </w:num>
  <w:num w:numId="51" w16cid:durableId="1762530406">
    <w:abstractNumId w:val="20"/>
  </w:num>
  <w:num w:numId="52" w16cid:durableId="1617131102">
    <w:abstractNumId w:val="27"/>
  </w:num>
  <w:num w:numId="53" w16cid:durableId="697004673">
    <w:abstractNumId w:val="8"/>
  </w:num>
  <w:num w:numId="54" w16cid:durableId="895553453">
    <w:abstractNumId w:val="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1FB1"/>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710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C6A"/>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08AD"/>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1B92"/>
    <w:rsid w:val="002122F2"/>
    <w:rsid w:val="0021535C"/>
    <w:rsid w:val="0021729E"/>
    <w:rsid w:val="00220696"/>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5F3E"/>
    <w:rsid w:val="00246630"/>
    <w:rsid w:val="00247DE7"/>
    <w:rsid w:val="002500FA"/>
    <w:rsid w:val="00250ED8"/>
    <w:rsid w:val="00250F54"/>
    <w:rsid w:val="0025129B"/>
    <w:rsid w:val="0025449C"/>
    <w:rsid w:val="002552C9"/>
    <w:rsid w:val="0025765F"/>
    <w:rsid w:val="00257732"/>
    <w:rsid w:val="002642AC"/>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8AD"/>
    <w:rsid w:val="00295DDD"/>
    <w:rsid w:val="00296362"/>
    <w:rsid w:val="002968A6"/>
    <w:rsid w:val="00296D90"/>
    <w:rsid w:val="0029703E"/>
    <w:rsid w:val="002A0239"/>
    <w:rsid w:val="002A1860"/>
    <w:rsid w:val="002A1997"/>
    <w:rsid w:val="002A237B"/>
    <w:rsid w:val="002A32E0"/>
    <w:rsid w:val="002A3C84"/>
    <w:rsid w:val="002A3F53"/>
    <w:rsid w:val="002A4221"/>
    <w:rsid w:val="002A606D"/>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4433"/>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2DFB"/>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6DC1"/>
    <w:rsid w:val="003473CB"/>
    <w:rsid w:val="00347515"/>
    <w:rsid w:val="003510A0"/>
    <w:rsid w:val="003514EB"/>
    <w:rsid w:val="00351C99"/>
    <w:rsid w:val="00352152"/>
    <w:rsid w:val="003525D5"/>
    <w:rsid w:val="00353C12"/>
    <w:rsid w:val="003540A1"/>
    <w:rsid w:val="003544BE"/>
    <w:rsid w:val="003544E0"/>
    <w:rsid w:val="0035652C"/>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6B6"/>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65A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B7F10"/>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340"/>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2B8"/>
    <w:rsid w:val="00405D8B"/>
    <w:rsid w:val="00406643"/>
    <w:rsid w:val="00410170"/>
    <w:rsid w:val="00410853"/>
    <w:rsid w:val="00410FCF"/>
    <w:rsid w:val="00412820"/>
    <w:rsid w:val="00413B91"/>
    <w:rsid w:val="0041424B"/>
    <w:rsid w:val="00414CFC"/>
    <w:rsid w:val="00415C1C"/>
    <w:rsid w:val="00415F83"/>
    <w:rsid w:val="0041618A"/>
    <w:rsid w:val="004164C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1445"/>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B36"/>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53A0"/>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719A"/>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084"/>
    <w:rsid w:val="005405A8"/>
    <w:rsid w:val="00541713"/>
    <w:rsid w:val="00542E3C"/>
    <w:rsid w:val="00543246"/>
    <w:rsid w:val="005439FC"/>
    <w:rsid w:val="00543A7C"/>
    <w:rsid w:val="00543AEE"/>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384"/>
    <w:rsid w:val="0057144C"/>
    <w:rsid w:val="00571BA3"/>
    <w:rsid w:val="005722D9"/>
    <w:rsid w:val="005733AF"/>
    <w:rsid w:val="005747A0"/>
    <w:rsid w:val="00574C66"/>
    <w:rsid w:val="005758ED"/>
    <w:rsid w:val="00575D67"/>
    <w:rsid w:val="00576C68"/>
    <w:rsid w:val="00576ED8"/>
    <w:rsid w:val="005774C5"/>
    <w:rsid w:val="00580679"/>
    <w:rsid w:val="0058109E"/>
    <w:rsid w:val="00582798"/>
    <w:rsid w:val="00582995"/>
    <w:rsid w:val="00584D2B"/>
    <w:rsid w:val="00584EE1"/>
    <w:rsid w:val="00586A0A"/>
    <w:rsid w:val="005870D5"/>
    <w:rsid w:val="00587FAE"/>
    <w:rsid w:val="005900AD"/>
    <w:rsid w:val="005923CF"/>
    <w:rsid w:val="00592CDE"/>
    <w:rsid w:val="005938A6"/>
    <w:rsid w:val="005946B7"/>
    <w:rsid w:val="005947C2"/>
    <w:rsid w:val="00595185"/>
    <w:rsid w:val="0059609B"/>
    <w:rsid w:val="00596289"/>
    <w:rsid w:val="00596CC5"/>
    <w:rsid w:val="0059772D"/>
    <w:rsid w:val="005A03B5"/>
    <w:rsid w:val="005A18D7"/>
    <w:rsid w:val="005A2023"/>
    <w:rsid w:val="005A270C"/>
    <w:rsid w:val="005A2821"/>
    <w:rsid w:val="005A2900"/>
    <w:rsid w:val="005A383B"/>
    <w:rsid w:val="005A4E4C"/>
    <w:rsid w:val="005A54A2"/>
    <w:rsid w:val="005A5613"/>
    <w:rsid w:val="005A76C9"/>
    <w:rsid w:val="005B1EB7"/>
    <w:rsid w:val="005B355B"/>
    <w:rsid w:val="005B4539"/>
    <w:rsid w:val="005B4DC1"/>
    <w:rsid w:val="005C327C"/>
    <w:rsid w:val="005C4420"/>
    <w:rsid w:val="005C5681"/>
    <w:rsid w:val="005C6A1D"/>
    <w:rsid w:val="005C765C"/>
    <w:rsid w:val="005C7DF6"/>
    <w:rsid w:val="005D02C9"/>
    <w:rsid w:val="005D1868"/>
    <w:rsid w:val="005D5052"/>
    <w:rsid w:val="005D54C5"/>
    <w:rsid w:val="005D55BE"/>
    <w:rsid w:val="005D7CD4"/>
    <w:rsid w:val="005E0296"/>
    <w:rsid w:val="005E264E"/>
    <w:rsid w:val="005E2F27"/>
    <w:rsid w:val="005E33E0"/>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6E36"/>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9E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2BB"/>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4A4F"/>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0D43"/>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0AA0"/>
    <w:rsid w:val="007245FC"/>
    <w:rsid w:val="007250B7"/>
    <w:rsid w:val="0072704D"/>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3E92"/>
    <w:rsid w:val="00774353"/>
    <w:rsid w:val="00775056"/>
    <w:rsid w:val="007759A9"/>
    <w:rsid w:val="007759EF"/>
    <w:rsid w:val="00775C7B"/>
    <w:rsid w:val="00777550"/>
    <w:rsid w:val="0077768E"/>
    <w:rsid w:val="00777BF4"/>
    <w:rsid w:val="00777E1D"/>
    <w:rsid w:val="007802C6"/>
    <w:rsid w:val="007807DE"/>
    <w:rsid w:val="00782ABB"/>
    <w:rsid w:val="00782B03"/>
    <w:rsid w:val="00783F69"/>
    <w:rsid w:val="0078577A"/>
    <w:rsid w:val="0078610D"/>
    <w:rsid w:val="007866CF"/>
    <w:rsid w:val="00786AC9"/>
    <w:rsid w:val="00786EC4"/>
    <w:rsid w:val="00791ED5"/>
    <w:rsid w:val="007926EC"/>
    <w:rsid w:val="00792AC3"/>
    <w:rsid w:val="007936B2"/>
    <w:rsid w:val="007936C6"/>
    <w:rsid w:val="007939C4"/>
    <w:rsid w:val="00794D7C"/>
    <w:rsid w:val="00795F60"/>
    <w:rsid w:val="007963A0"/>
    <w:rsid w:val="00796DBC"/>
    <w:rsid w:val="007976D7"/>
    <w:rsid w:val="007A24F7"/>
    <w:rsid w:val="007A316E"/>
    <w:rsid w:val="007A426C"/>
    <w:rsid w:val="007A5D75"/>
    <w:rsid w:val="007A5E1A"/>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451"/>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38F5"/>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1712F"/>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5BAA"/>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C0C"/>
    <w:rsid w:val="00850F36"/>
    <w:rsid w:val="008510EC"/>
    <w:rsid w:val="00851476"/>
    <w:rsid w:val="00853253"/>
    <w:rsid w:val="00854B57"/>
    <w:rsid w:val="00854CE2"/>
    <w:rsid w:val="0085591B"/>
    <w:rsid w:val="008569FA"/>
    <w:rsid w:val="008577E3"/>
    <w:rsid w:val="00860CA9"/>
    <w:rsid w:val="00861A52"/>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7E0"/>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2F01"/>
    <w:rsid w:val="00903BD2"/>
    <w:rsid w:val="00905C1A"/>
    <w:rsid w:val="00905E6A"/>
    <w:rsid w:val="00906E8B"/>
    <w:rsid w:val="00907CE0"/>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4E99"/>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57E1C"/>
    <w:rsid w:val="00960F14"/>
    <w:rsid w:val="009612D3"/>
    <w:rsid w:val="00962064"/>
    <w:rsid w:val="00962F14"/>
    <w:rsid w:val="00963A39"/>
    <w:rsid w:val="00963DC5"/>
    <w:rsid w:val="009649F8"/>
    <w:rsid w:val="009652A4"/>
    <w:rsid w:val="00965F2B"/>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E95"/>
    <w:rsid w:val="009A4BC9"/>
    <w:rsid w:val="009A50A0"/>
    <w:rsid w:val="009A5C4E"/>
    <w:rsid w:val="009A639D"/>
    <w:rsid w:val="009A66B8"/>
    <w:rsid w:val="009A6D57"/>
    <w:rsid w:val="009B2D9B"/>
    <w:rsid w:val="009B4904"/>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6E7D"/>
    <w:rsid w:val="009F7316"/>
    <w:rsid w:val="009F7F2D"/>
    <w:rsid w:val="00A02AF3"/>
    <w:rsid w:val="00A035AB"/>
    <w:rsid w:val="00A04C9D"/>
    <w:rsid w:val="00A04DB8"/>
    <w:rsid w:val="00A050A2"/>
    <w:rsid w:val="00A05CFC"/>
    <w:rsid w:val="00A064CE"/>
    <w:rsid w:val="00A06A75"/>
    <w:rsid w:val="00A0773E"/>
    <w:rsid w:val="00A07FB5"/>
    <w:rsid w:val="00A10F4E"/>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511"/>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5E54"/>
    <w:rsid w:val="00A46507"/>
    <w:rsid w:val="00A46BEA"/>
    <w:rsid w:val="00A47C6E"/>
    <w:rsid w:val="00A501D9"/>
    <w:rsid w:val="00A503F1"/>
    <w:rsid w:val="00A53328"/>
    <w:rsid w:val="00A5358D"/>
    <w:rsid w:val="00A53874"/>
    <w:rsid w:val="00A55B96"/>
    <w:rsid w:val="00A56BE5"/>
    <w:rsid w:val="00A56DE0"/>
    <w:rsid w:val="00A57E93"/>
    <w:rsid w:val="00A60DA8"/>
    <w:rsid w:val="00A612AD"/>
    <w:rsid w:val="00A6137C"/>
    <w:rsid w:val="00A615A6"/>
    <w:rsid w:val="00A623D0"/>
    <w:rsid w:val="00A631EB"/>
    <w:rsid w:val="00A711B3"/>
    <w:rsid w:val="00A71C2B"/>
    <w:rsid w:val="00A72E82"/>
    <w:rsid w:val="00A76423"/>
    <w:rsid w:val="00A773D0"/>
    <w:rsid w:val="00A77738"/>
    <w:rsid w:val="00A7786A"/>
    <w:rsid w:val="00A779A2"/>
    <w:rsid w:val="00A77C08"/>
    <w:rsid w:val="00A80131"/>
    <w:rsid w:val="00A8064B"/>
    <w:rsid w:val="00A818E6"/>
    <w:rsid w:val="00A81A71"/>
    <w:rsid w:val="00A84C61"/>
    <w:rsid w:val="00A8625C"/>
    <w:rsid w:val="00A86DFE"/>
    <w:rsid w:val="00A870CA"/>
    <w:rsid w:val="00A87442"/>
    <w:rsid w:val="00A90D91"/>
    <w:rsid w:val="00A93112"/>
    <w:rsid w:val="00A9329E"/>
    <w:rsid w:val="00A932DE"/>
    <w:rsid w:val="00A9656E"/>
    <w:rsid w:val="00AA11FB"/>
    <w:rsid w:val="00AA1853"/>
    <w:rsid w:val="00AA186B"/>
    <w:rsid w:val="00AA38F6"/>
    <w:rsid w:val="00AA4965"/>
    <w:rsid w:val="00AA6DDB"/>
    <w:rsid w:val="00AB0830"/>
    <w:rsid w:val="00AB2CCC"/>
    <w:rsid w:val="00AB4F2C"/>
    <w:rsid w:val="00AB64F8"/>
    <w:rsid w:val="00AC1124"/>
    <w:rsid w:val="00AC21E4"/>
    <w:rsid w:val="00AC6ECF"/>
    <w:rsid w:val="00AC7B6B"/>
    <w:rsid w:val="00AD09E7"/>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467"/>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55E"/>
    <w:rsid w:val="00B2670C"/>
    <w:rsid w:val="00B310C1"/>
    <w:rsid w:val="00B32231"/>
    <w:rsid w:val="00B35E99"/>
    <w:rsid w:val="00B3764F"/>
    <w:rsid w:val="00B41334"/>
    <w:rsid w:val="00B43080"/>
    <w:rsid w:val="00B431B1"/>
    <w:rsid w:val="00B43E73"/>
    <w:rsid w:val="00B4464A"/>
    <w:rsid w:val="00B44D78"/>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27C"/>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38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678"/>
    <w:rsid w:val="00C20FC8"/>
    <w:rsid w:val="00C22295"/>
    <w:rsid w:val="00C227D5"/>
    <w:rsid w:val="00C228DF"/>
    <w:rsid w:val="00C2454C"/>
    <w:rsid w:val="00C25F98"/>
    <w:rsid w:val="00C26867"/>
    <w:rsid w:val="00C27879"/>
    <w:rsid w:val="00C30240"/>
    <w:rsid w:val="00C3135C"/>
    <w:rsid w:val="00C3244D"/>
    <w:rsid w:val="00C33102"/>
    <w:rsid w:val="00C3337E"/>
    <w:rsid w:val="00C34977"/>
    <w:rsid w:val="00C352FA"/>
    <w:rsid w:val="00C354CC"/>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67D"/>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328"/>
    <w:rsid w:val="00CB4EBD"/>
    <w:rsid w:val="00CB6338"/>
    <w:rsid w:val="00CB6F7D"/>
    <w:rsid w:val="00CB76AA"/>
    <w:rsid w:val="00CB790E"/>
    <w:rsid w:val="00CC1407"/>
    <w:rsid w:val="00CC3F36"/>
    <w:rsid w:val="00CC43AB"/>
    <w:rsid w:val="00CC450D"/>
    <w:rsid w:val="00CC4FFC"/>
    <w:rsid w:val="00CC5328"/>
    <w:rsid w:val="00CC5A36"/>
    <w:rsid w:val="00CC77F9"/>
    <w:rsid w:val="00CC7CC0"/>
    <w:rsid w:val="00CD0735"/>
    <w:rsid w:val="00CD3D23"/>
    <w:rsid w:val="00CD42E0"/>
    <w:rsid w:val="00CD505D"/>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1DD"/>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0E"/>
    <w:rsid w:val="00D33DB2"/>
    <w:rsid w:val="00D33DE7"/>
    <w:rsid w:val="00D341B5"/>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757"/>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3BD"/>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CD"/>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2F8"/>
    <w:rsid w:val="00E7486E"/>
    <w:rsid w:val="00E75C41"/>
    <w:rsid w:val="00E75E25"/>
    <w:rsid w:val="00E76F8F"/>
    <w:rsid w:val="00E81727"/>
    <w:rsid w:val="00E8221C"/>
    <w:rsid w:val="00E83D9D"/>
    <w:rsid w:val="00E83E48"/>
    <w:rsid w:val="00E84A8D"/>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5A16"/>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2CD6"/>
    <w:rsid w:val="00F03665"/>
    <w:rsid w:val="00F03D4C"/>
    <w:rsid w:val="00F04743"/>
    <w:rsid w:val="00F07460"/>
    <w:rsid w:val="00F10A6E"/>
    <w:rsid w:val="00F11111"/>
    <w:rsid w:val="00F1189D"/>
    <w:rsid w:val="00F11A61"/>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45E28"/>
    <w:rsid w:val="00F511CC"/>
    <w:rsid w:val="00F51334"/>
    <w:rsid w:val="00F5203B"/>
    <w:rsid w:val="00F526AD"/>
    <w:rsid w:val="00F527B7"/>
    <w:rsid w:val="00F52E73"/>
    <w:rsid w:val="00F52F6F"/>
    <w:rsid w:val="00F53828"/>
    <w:rsid w:val="00F54AA2"/>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0C0"/>
    <w:rsid w:val="00F87334"/>
    <w:rsid w:val="00F87716"/>
    <w:rsid w:val="00F87E26"/>
    <w:rsid w:val="00F909A2"/>
    <w:rsid w:val="00F90B02"/>
    <w:rsid w:val="00F921FF"/>
    <w:rsid w:val="00F9442E"/>
    <w:rsid w:val="00F944F3"/>
    <w:rsid w:val="00F946F6"/>
    <w:rsid w:val="00F94763"/>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09B6"/>
    <w:rsid w:val="00FF3644"/>
    <w:rsid w:val="00FF4C17"/>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B08182"/>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1F675BD"/>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565137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3005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95050/https://www.eba.europa.eu/activities/single-rulebook/regulatory-activities/sustainable-finance/guidelines-management-esg-risks"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documentManagement/types"/>
    <ds:schemaRef ds:uri="a84edb6d-cf86-4b2b-8a62-38e962ed6fbe"/>
    <ds:schemaRef ds:uri="http://purl.org/dc/elements/1.1/"/>
    <ds:schemaRef ds:uri="http://schemas.microsoft.com/office/2006/metadata/properties"/>
    <ds:schemaRef ds:uri="f3ae4679-24f8-43cb-880e-0de6e561589c"/>
    <ds:schemaRef ds:uri="http://purl.org/dc/terms/"/>
    <ds:schemaRef ds:uri="http://schemas.openxmlformats.org/package/2006/metadata/core-properti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114</Pages>
  <Words>23498</Words>
  <Characters>133941</Characters>
  <Application>Microsoft Office Word</Application>
  <DocSecurity>0</DocSecurity>
  <Lines>1116</Lines>
  <Paragraphs>314</Paragraphs>
  <ScaleCrop>false</ScaleCrop>
  <Company/>
  <LinksUpToDate>false</LinksUpToDate>
  <CharactersWithSpaces>157125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109</cp:revision>
  <cp:lastPrinted>2025-03-21T00:14:00Z</cp:lastPrinted>
  <dcterms:created xsi:type="dcterms:W3CDTF">2025-06-19T12:23:00Z</dcterms:created>
  <dcterms:modified xsi:type="dcterms:W3CDTF">2025-07-09T10:56:00Z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